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3176</wp:posOffset>
            </wp:positionH>
            <wp:positionV relativeFrom="paragraph">
              <wp:posOffset>-5714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.11.2022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Тендерні умови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Громадська організація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«Український незалежний центр політичних досліджень»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Шановні постачальники  послуг!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Громадська організація "Український незалежний центр політичних досліджень" оголошує тендер на закупівлю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електрообладнання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зв’язку з цим, звертаюся до Вас із проханням надати комерційну пропозицію щодо вартості 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електрообладнання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згідно зі Специфікаці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єю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зазначено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ю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у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Додатк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№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до цього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пакету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До комерційної пропозиції необхідно додати реєстраційні документи учасника тендеру: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sz w:val="22"/>
          <w:szCs w:val="2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свідоцтво про реєстрацію або виписку з ЄДР (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місце реєстрації суб’єкта господарювання повинно бути на території, підконтрольній урядові України)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перелік відповідних КВЕДів;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документи, що підтверджують форму оподаткування учасника тендеру.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  <w:rtl w:val="0"/>
        </w:rPr>
        <w:t xml:space="preserve">Просимо врахувати, що організація не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сплачує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  <w:rtl w:val="0"/>
        </w:rPr>
        <w:t xml:space="preserve"> податкові платежі підприємця, такі як накладні витрати, податки, штрафи, пені.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Надані учасниками конкурсу комерційні пропозиції мають бути дійсними без змін не менш ніж 30 (тридцяти) днів з дня їх подачі. Ціни мають бути зазначені відповідно до вимог у специфікації в гривнях без ПДВ, вартість доставки має бути включена у ціну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пропозиції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Вимоги до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товару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умови оплати – як зазначено у специфікації.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Будь ласка, надсилайте свої пропозиції на адресу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94fa3"/>
          <w:sz w:val="24"/>
          <w:szCs w:val="24"/>
          <w:highlight w:val="white"/>
          <w:rtl w:val="0"/>
        </w:rPr>
        <w:t xml:space="preserve">administrative@ucipr.org.ua</w:t>
      </w:r>
      <w:r w:rsidDel="00000000" w:rsidR="00000000" w:rsidRPr="00000000">
        <w:rPr>
          <w:rFonts w:ascii="Times New Roman" w:cs="Times New Roman" w:eastAsia="Times New Roman" w:hAnsi="Times New Roman"/>
          <w:color w:val="252525"/>
          <w:sz w:val="24"/>
          <w:szCs w:val="24"/>
          <w:highlight w:val="white"/>
          <w:rtl w:val="0"/>
        </w:rPr>
        <w:t xml:space="preserve"> з обов’язковою копією на </w:t>
      </w:r>
      <w:r w:rsidDel="00000000" w:rsidR="00000000" w:rsidRPr="00000000">
        <w:rPr>
          <w:rFonts w:ascii="Times New Roman" w:cs="Times New Roman" w:eastAsia="Times New Roman" w:hAnsi="Times New Roman"/>
          <w:color w:val="094fa3"/>
          <w:sz w:val="24"/>
          <w:szCs w:val="24"/>
          <w:highlight w:val="white"/>
          <w:rtl w:val="0"/>
        </w:rPr>
        <w:t xml:space="preserve">ucipr.competition@gmail.com</w:t>
      </w:r>
      <w:r w:rsidDel="00000000" w:rsidR="00000000" w:rsidRPr="00000000">
        <w:rPr>
          <w:rFonts w:ascii="Times New Roman" w:cs="Times New Roman" w:eastAsia="Times New Roman" w:hAnsi="Times New Roman"/>
          <w:color w:val="252525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із позначкою “Тендер. Електрообладнання”.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Кінцевий термін подання комерційних пропозицій –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23:00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u w:val="single"/>
          <w:rtl w:val="0"/>
        </w:rPr>
        <w:t xml:space="preserve">12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грудня 2022 року.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Всі пропозиції, отримані після кінцевого терміну розгляду не підлягають.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відповідності специфікації, якості та цінових показників, з урахуванням усіх витрат та суми податків. Переможця тендеру буде обрано на засіданні Комітету з конкурсного відбору, яке відбудеться не пізніше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  <w:rtl w:val="0"/>
        </w:rPr>
        <w:t xml:space="preserve"> грудня 2022 року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після  детальної технічної, фінансової та правової  оцінки пропозицій. Протягом 3 (трьох) робочих днів з моменту прийняття такого рішення Громадська організація «Український незалежний центр політичних досліджень" проінформує переможця конкурсу електронним листом.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Вимоги до потенційних постачальників послуг: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240" w:lineRule="auto"/>
        <w:ind w:left="720" w:hanging="36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Юридична особа або Фізична особа-підприємець за законодавством України, які перебувають на спрощеній системі оподаткування. Оплата за поставлені товари відбуватиметься виключно без ПДВ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Наявність відповідних КВЕДів.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Можливість забезпечити весь пакет замовлення – 30 балів.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Строки виконання – 20 балів.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Цінова пропозиція – 50 балів 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Пропозиції не повинні включати в себе обладнання, вироблене, зібране, доставлене з чи перевезене через територію або іншим чином мають стосунок до наступних країн: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Куба, Іран, Північна Корея, Росія, Сирія.</w:t>
      </w:r>
    </w:p>
    <w:p w:rsidR="00000000" w:rsidDel="00000000" w:rsidP="00000000" w:rsidRDefault="00000000" w:rsidRPr="00000000" w14:paraId="0000002F">
      <w:pPr>
        <w:spacing w:line="276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line="276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Будь-які товари, виготовлені Huawei Technology Company, ZTE Corporation, Hytera Communications Corporation, Hangzhou Hikvision Digital Technology Company, Dahua Technology Company, не приймаються.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Якщо пропозиції включають товари, які були вироблені даними компаніями, будь ласка, зауважте, що вони вважатимуться технічно невідповідними та виключеними з даного конкурсу.</w:t>
      </w:r>
    </w:p>
    <w:p w:rsidR="00000000" w:rsidDel="00000000" w:rsidP="00000000" w:rsidRDefault="00000000" w:rsidRPr="00000000" w14:paraId="00000031">
      <w:pPr>
        <w:spacing w:line="276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Розцінки за послуги мають бути вказані без додаткових прихованих платежів. Організація не сплачує податки постачальника послуг.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Запитання щодо цього конкурсу просимо надсилати виключно у письмовому вигляді на адреси </w:t>
      </w:r>
      <w:r w:rsidDel="00000000" w:rsidR="00000000" w:rsidRPr="00000000">
        <w:rPr>
          <w:rFonts w:ascii="Times New Roman" w:cs="Times New Roman" w:eastAsia="Times New Roman" w:hAnsi="Times New Roman"/>
          <w:color w:val="094fa3"/>
          <w:sz w:val="24"/>
          <w:szCs w:val="24"/>
          <w:highlight w:val="white"/>
          <w:rtl w:val="0"/>
        </w:rPr>
        <w:t xml:space="preserve">administrative@ucipr.org.ua</w:t>
      </w:r>
      <w:r w:rsidDel="00000000" w:rsidR="00000000" w:rsidRPr="00000000">
        <w:rPr>
          <w:rFonts w:ascii="Times New Roman" w:cs="Times New Roman" w:eastAsia="Times New Roman" w:hAnsi="Times New Roman"/>
          <w:color w:val="252525"/>
          <w:sz w:val="24"/>
          <w:szCs w:val="24"/>
          <w:highlight w:val="white"/>
          <w:rtl w:val="0"/>
        </w:rPr>
        <w:t xml:space="preserve"> з обов’язковою копією на </w:t>
      </w:r>
      <w:r w:rsidDel="00000000" w:rsidR="00000000" w:rsidRPr="00000000">
        <w:rPr>
          <w:rFonts w:ascii="Times New Roman" w:cs="Times New Roman" w:eastAsia="Times New Roman" w:hAnsi="Times New Roman"/>
          <w:color w:val="094fa3"/>
          <w:sz w:val="24"/>
          <w:szCs w:val="24"/>
          <w:highlight w:val="white"/>
          <w:rtl w:val="0"/>
        </w:rPr>
        <w:t xml:space="preserve">ucipr.competition@gmail.com</w:t>
      </w:r>
      <w:r w:rsidDel="00000000" w:rsidR="00000000" w:rsidRPr="00000000">
        <w:rPr>
          <w:rFonts w:ascii="Times New Roman" w:cs="Times New Roman" w:eastAsia="Times New Roman" w:hAnsi="Times New Roman"/>
          <w:color w:val="252525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Усні перемовини щодо конкурсу не вважаються частиною процесу прозорого конкурсного відбору.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 і первинними документами на обладнання.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Додатки: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Специфікація.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Заявка на участь у тендері.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Анкета учасників тендеру.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повагою,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Голова Тендерного комітету</w:t>
        <w:tab/>
        <w:tab/>
        <w:tab/>
        <w:tab/>
        <w:t xml:space="preserve">Альве Т.С.</w:t>
      </w:r>
    </w:p>
    <w:sectPr>
      <w:footerReference r:id="rId8" w:type="default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86" w:hanging="360.00000000000006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MUJpILRSw9j43hBUGjZy6GorYg==">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2022-10-28T06:58:00Z</dcterms:created>
  <dc:creator>Victor</dc:creator>
</cp:coreProperties>
</file>