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B8F4F" w14:textId="11A686DD" w:rsidR="00916592" w:rsidRPr="00AE2119" w:rsidRDefault="001D5FC5" w:rsidP="00120D09">
      <w:pPr>
        <w:jc w:val="both"/>
        <w:rPr>
          <w:b/>
          <w:bCs/>
          <w:sz w:val="28"/>
          <w:szCs w:val="28"/>
          <w:lang w:val="fi-FI"/>
        </w:rPr>
      </w:pPr>
      <w:r w:rsidRPr="00AE2119">
        <w:rPr>
          <w:b/>
          <w:bCs/>
          <w:sz w:val="28"/>
          <w:szCs w:val="28"/>
          <w:lang w:val="fi-FI"/>
        </w:rPr>
        <w:t>Engagement letter – Agreed upon procedures</w:t>
      </w:r>
    </w:p>
    <w:p w14:paraId="3C9093C5" w14:textId="1181B67D" w:rsidR="001D5FC5" w:rsidRDefault="001D5FC5" w:rsidP="00120D09">
      <w:pPr>
        <w:jc w:val="both"/>
        <w:rPr>
          <w:lang w:val="fi-FI"/>
        </w:rPr>
      </w:pPr>
    </w:p>
    <w:p w14:paraId="384280F9" w14:textId="6A5AA6B2" w:rsidR="001D5FC5" w:rsidRDefault="001D5FC5" w:rsidP="00120D09">
      <w:pPr>
        <w:jc w:val="both"/>
        <w:rPr>
          <w:lang w:val="fi-FI"/>
        </w:rPr>
      </w:pPr>
    </w:p>
    <w:p w14:paraId="7EFC7BB2" w14:textId="6979F436" w:rsidR="00676F74" w:rsidRPr="008A611E" w:rsidRDefault="00676F74" w:rsidP="00120D09">
      <w:pPr>
        <w:pStyle w:val="a3"/>
        <w:numPr>
          <w:ilvl w:val="0"/>
          <w:numId w:val="3"/>
        </w:numPr>
        <w:spacing w:after="260" w:line="260" w:lineRule="atLeast"/>
        <w:jc w:val="both"/>
        <w:rPr>
          <w:rFonts w:ascii="Arial" w:hAnsi="Arial" w:cs="Arial"/>
          <w:b/>
          <w:bCs/>
          <w:lang w:val="en-US" w:eastAsia="fi-FI"/>
        </w:rPr>
      </w:pPr>
      <w:r w:rsidRPr="008A611E">
        <w:rPr>
          <w:rFonts w:ascii="Arial" w:hAnsi="Arial" w:cs="Arial"/>
          <w:b/>
          <w:bCs/>
          <w:lang w:val="en-US" w:eastAsia="fi-FI"/>
        </w:rPr>
        <w:t>Objectives and Backgro</w:t>
      </w:r>
      <w:r w:rsidR="008A611E" w:rsidRPr="008A611E">
        <w:rPr>
          <w:rFonts w:ascii="Arial" w:hAnsi="Arial" w:cs="Arial"/>
          <w:b/>
          <w:bCs/>
          <w:lang w:val="en-US" w:eastAsia="fi-FI"/>
        </w:rPr>
        <w:t>und</w:t>
      </w:r>
    </w:p>
    <w:p w14:paraId="3B594EE9" w14:textId="77777777" w:rsidR="00676F74" w:rsidRDefault="00676F74" w:rsidP="00120D09">
      <w:pPr>
        <w:spacing w:after="260" w:line="260" w:lineRule="atLeast"/>
        <w:jc w:val="both"/>
        <w:rPr>
          <w:rFonts w:ascii="Arial" w:hAnsi="Arial" w:cs="Arial"/>
          <w:sz w:val="20"/>
          <w:szCs w:val="20"/>
          <w:lang w:val="en-US" w:eastAsia="fi-FI"/>
        </w:rPr>
      </w:pPr>
    </w:p>
    <w:p w14:paraId="5DD854E8" w14:textId="48D82C08" w:rsidR="001D5FC5" w:rsidRDefault="001D5FC5" w:rsidP="00120D09">
      <w:pPr>
        <w:spacing w:after="260" w:line="260" w:lineRule="atLeast"/>
        <w:jc w:val="both"/>
        <w:rPr>
          <w:rFonts w:ascii="Arial" w:hAnsi="Arial" w:cs="Arial"/>
          <w:sz w:val="20"/>
          <w:szCs w:val="20"/>
          <w:lang w:val="en-US" w:eastAsia="fi-FI"/>
        </w:rPr>
      </w:pPr>
      <w:r>
        <w:rPr>
          <w:rFonts w:ascii="Arial" w:hAnsi="Arial" w:cs="Arial"/>
          <w:sz w:val="20"/>
          <w:szCs w:val="20"/>
          <w:lang w:val="en-US" w:eastAsia="fi-FI"/>
        </w:rPr>
        <w:t>This letter is to confirm our understanding of the terms and objectives of our engagement and the nature and limitations of the services that we will provide. Our engagement will be conducted in accordance with the International Standard on Related Services applicable to agreed-upon procedures engagements (ISRS 4400) and we will indicate so in our report.</w:t>
      </w:r>
      <w:r w:rsidR="004877BF" w:rsidRPr="004877BF">
        <w:rPr>
          <w:rFonts w:ascii="Arial" w:hAnsi="Arial" w:cs="Arial"/>
          <w:sz w:val="20"/>
          <w:szCs w:val="20"/>
          <w:lang w:val="en-US" w:eastAsia="fi-FI"/>
        </w:rPr>
        <w:t xml:space="preserve"> </w:t>
      </w:r>
      <w:r w:rsidR="004877BF">
        <w:rPr>
          <w:rFonts w:ascii="Arial" w:hAnsi="Arial" w:cs="Arial"/>
          <w:sz w:val="20"/>
          <w:szCs w:val="20"/>
          <w:lang w:val="en-US" w:eastAsia="fi-FI"/>
        </w:rPr>
        <w:t xml:space="preserve">The procedures that we will perform will not constitute an audit or a review made in accordance with International Standards of Auditing or International Standards on Review Engagements and, consequently, no assurance will be expressed. </w:t>
      </w:r>
    </w:p>
    <w:p w14:paraId="00E3BF0F" w14:textId="44599A82" w:rsidR="00F3160E" w:rsidRDefault="001D5FC5" w:rsidP="00120D09">
      <w:pPr>
        <w:spacing w:after="260" w:line="260" w:lineRule="atLeast"/>
        <w:jc w:val="both"/>
        <w:rPr>
          <w:rFonts w:ascii="Arial" w:hAnsi="Arial" w:cs="Arial"/>
          <w:sz w:val="20"/>
          <w:szCs w:val="20"/>
          <w:lang w:eastAsia="fi-FI"/>
        </w:rPr>
      </w:pPr>
      <w:r w:rsidRPr="00122010">
        <w:rPr>
          <w:rFonts w:ascii="Arial" w:hAnsi="Arial" w:cs="Arial"/>
          <w:sz w:val="20"/>
          <w:szCs w:val="20"/>
          <w:lang w:eastAsia="fi-FI"/>
        </w:rPr>
        <w:t xml:space="preserve">Our engagement relates to </w:t>
      </w:r>
      <w:r w:rsidR="00457950">
        <w:rPr>
          <w:rFonts w:ascii="Arial" w:hAnsi="Arial" w:cs="Arial"/>
          <w:sz w:val="20"/>
          <w:szCs w:val="20"/>
          <w:lang w:eastAsia="fi-FI"/>
        </w:rPr>
        <w:t xml:space="preserve">the European Union financed grant contract for </w:t>
      </w:r>
      <w:r w:rsidR="00F3160E">
        <w:rPr>
          <w:rFonts w:ascii="Arial" w:hAnsi="Arial" w:cs="Arial"/>
          <w:sz w:val="20"/>
          <w:szCs w:val="20"/>
          <w:lang w:eastAsia="fi-FI"/>
        </w:rPr>
        <w:t xml:space="preserve">an </w:t>
      </w:r>
      <w:r w:rsidR="00457950">
        <w:rPr>
          <w:rFonts w:ascii="Arial" w:hAnsi="Arial" w:cs="Arial"/>
          <w:sz w:val="20"/>
          <w:szCs w:val="20"/>
          <w:lang w:eastAsia="fi-FI"/>
        </w:rPr>
        <w:t xml:space="preserve">external action concerning </w:t>
      </w:r>
      <w:r w:rsidR="00CD50C8" w:rsidRPr="00B1393C">
        <w:rPr>
          <w:rFonts w:ascii="Arial" w:hAnsi="Arial" w:cs="Arial"/>
          <w:sz w:val="20"/>
          <w:szCs w:val="20"/>
          <w:lang w:eastAsia="fi-FI"/>
        </w:rPr>
        <w:t>“</w:t>
      </w:r>
      <w:r w:rsidR="00CD50C8" w:rsidRPr="00B1393C">
        <w:rPr>
          <w:rFonts w:ascii="Arial" w:hAnsi="Arial" w:cs="Arial"/>
          <w:i/>
          <w:iCs/>
          <w:sz w:val="20"/>
          <w:szCs w:val="20"/>
          <w:lang w:eastAsia="fi-FI"/>
        </w:rPr>
        <w:t xml:space="preserve">Building Resilience </w:t>
      </w:r>
      <w:r w:rsidR="00B1393C" w:rsidRPr="00B1393C">
        <w:rPr>
          <w:rFonts w:ascii="Arial" w:hAnsi="Arial" w:cs="Arial"/>
          <w:i/>
          <w:iCs/>
          <w:sz w:val="20"/>
          <w:szCs w:val="20"/>
          <w:lang w:eastAsia="fi-FI"/>
        </w:rPr>
        <w:t>in</w:t>
      </w:r>
      <w:r w:rsidR="00CD50C8" w:rsidRPr="00B1393C">
        <w:rPr>
          <w:rFonts w:ascii="Arial" w:hAnsi="Arial" w:cs="Arial"/>
          <w:i/>
          <w:iCs/>
          <w:sz w:val="20"/>
          <w:szCs w:val="20"/>
          <w:lang w:eastAsia="fi-FI"/>
        </w:rPr>
        <w:t xml:space="preserve"> Conflict through Dialogue</w:t>
      </w:r>
      <w:r w:rsidR="00CD50C8" w:rsidRPr="00B1393C">
        <w:rPr>
          <w:rFonts w:ascii="Arial" w:hAnsi="Arial" w:cs="Arial"/>
          <w:sz w:val="20"/>
          <w:szCs w:val="20"/>
          <w:lang w:eastAsia="fi-FI"/>
        </w:rPr>
        <w:t>”</w:t>
      </w:r>
      <w:r w:rsidR="00457950" w:rsidRPr="00B1393C">
        <w:rPr>
          <w:rFonts w:ascii="Arial" w:hAnsi="Arial" w:cs="Arial"/>
          <w:sz w:val="20"/>
          <w:szCs w:val="20"/>
          <w:lang w:eastAsia="fi-FI"/>
        </w:rPr>
        <w:t xml:space="preserve">, </w:t>
      </w:r>
      <w:r w:rsidR="00EB6F8D" w:rsidRPr="00B1393C">
        <w:rPr>
          <w:rFonts w:ascii="Arial" w:hAnsi="Arial" w:cs="Arial"/>
          <w:sz w:val="20"/>
          <w:szCs w:val="20"/>
          <w:lang w:eastAsia="fi-FI"/>
        </w:rPr>
        <w:t>NDICI</w:t>
      </w:r>
      <w:r w:rsidR="00EB6F8D" w:rsidRPr="00EB6F8D">
        <w:rPr>
          <w:rFonts w:ascii="Arial" w:hAnsi="Arial" w:cs="Arial"/>
          <w:sz w:val="20"/>
          <w:szCs w:val="20"/>
          <w:lang w:eastAsia="fi-FI"/>
        </w:rPr>
        <w:t xml:space="preserve"> CRISIS FPI/2021/426-486 </w:t>
      </w:r>
      <w:r w:rsidR="00540FC5">
        <w:rPr>
          <w:rFonts w:ascii="Arial" w:hAnsi="Arial" w:cs="Arial"/>
          <w:sz w:val="20"/>
          <w:szCs w:val="20"/>
          <w:lang w:eastAsia="fi-FI"/>
        </w:rPr>
        <w:t xml:space="preserve">(the ‘Action’), jointly implemented by CMI – Martti Ahtisaari Peace Foundation </w:t>
      </w:r>
      <w:proofErr w:type="spellStart"/>
      <w:r w:rsidR="00540FC5">
        <w:rPr>
          <w:rFonts w:ascii="Arial" w:hAnsi="Arial" w:cs="Arial"/>
          <w:sz w:val="20"/>
          <w:szCs w:val="20"/>
          <w:lang w:eastAsia="fi-FI"/>
        </w:rPr>
        <w:t>sr</w:t>
      </w:r>
      <w:proofErr w:type="spellEnd"/>
      <w:r w:rsidR="00540FC5">
        <w:rPr>
          <w:rFonts w:ascii="Arial" w:hAnsi="Arial" w:cs="Arial"/>
          <w:sz w:val="20"/>
          <w:szCs w:val="20"/>
          <w:lang w:eastAsia="fi-FI"/>
        </w:rPr>
        <w:t xml:space="preserve"> (CMI)</w:t>
      </w:r>
      <w:r w:rsidR="002F195B">
        <w:rPr>
          <w:rFonts w:ascii="Arial" w:hAnsi="Arial" w:cs="Arial"/>
          <w:sz w:val="20"/>
          <w:szCs w:val="20"/>
          <w:lang w:eastAsia="fi-FI"/>
        </w:rPr>
        <w:t xml:space="preserve">, </w:t>
      </w:r>
      <w:r w:rsidR="00A23954">
        <w:rPr>
          <w:rFonts w:ascii="Arial" w:hAnsi="Arial" w:cs="Arial"/>
          <w:sz w:val="20"/>
          <w:szCs w:val="20"/>
          <w:lang w:eastAsia="fi-FI"/>
        </w:rPr>
        <w:t xml:space="preserve">The Ukrainian Centre for Independent Political Research </w:t>
      </w:r>
      <w:r w:rsidR="00A23954" w:rsidRPr="0055368F">
        <w:rPr>
          <w:rFonts w:ascii="Arial" w:hAnsi="Arial" w:cs="Arial"/>
          <w:sz w:val="20"/>
          <w:szCs w:val="20"/>
          <w:lang w:eastAsia="fi-FI"/>
        </w:rPr>
        <w:t>(UCIPR)</w:t>
      </w:r>
      <w:r w:rsidR="002F195B">
        <w:rPr>
          <w:rFonts w:ascii="Arial" w:hAnsi="Arial" w:cs="Arial"/>
          <w:sz w:val="20"/>
          <w:szCs w:val="20"/>
          <w:lang w:eastAsia="fi-FI"/>
        </w:rPr>
        <w:t xml:space="preserve"> and </w:t>
      </w:r>
      <w:r w:rsidR="002F195B" w:rsidRPr="000D6B6A">
        <w:rPr>
          <w:rFonts w:ascii="Arial" w:hAnsi="Arial" w:cs="Arial"/>
          <w:sz w:val="20"/>
          <w:szCs w:val="20"/>
          <w:lang w:eastAsia="fi-FI"/>
        </w:rPr>
        <w:t>Ukrainian Helsinki Human Rights Union</w:t>
      </w:r>
      <w:r w:rsidR="002F195B">
        <w:rPr>
          <w:rFonts w:ascii="Arial" w:hAnsi="Arial" w:cs="Arial"/>
          <w:sz w:val="20"/>
          <w:szCs w:val="20"/>
          <w:lang w:eastAsia="fi-FI"/>
        </w:rPr>
        <w:t xml:space="preserve"> (UHHRU)</w:t>
      </w:r>
      <w:r w:rsidR="00540FC5" w:rsidRPr="0055368F">
        <w:rPr>
          <w:rFonts w:ascii="Arial" w:hAnsi="Arial" w:cs="Arial"/>
          <w:sz w:val="20"/>
          <w:szCs w:val="20"/>
          <w:lang w:eastAsia="fi-FI"/>
        </w:rPr>
        <w:t xml:space="preserve">. The implementation period of the Action </w:t>
      </w:r>
      <w:r w:rsidR="00F3160E" w:rsidRPr="0055368F">
        <w:rPr>
          <w:rFonts w:ascii="Arial" w:hAnsi="Arial" w:cs="Arial"/>
          <w:sz w:val="20"/>
          <w:szCs w:val="20"/>
          <w:lang w:eastAsia="fi-FI"/>
        </w:rPr>
        <w:t xml:space="preserve">was </w:t>
      </w:r>
      <w:r w:rsidR="0055368F" w:rsidRPr="0055368F">
        <w:rPr>
          <w:rFonts w:ascii="Arial" w:hAnsi="Arial" w:cs="Arial"/>
          <w:sz w:val="20"/>
          <w:szCs w:val="20"/>
          <w:lang w:eastAsia="fi-FI"/>
        </w:rPr>
        <w:t>01.01.2022 – 30.09.2023</w:t>
      </w:r>
      <w:r w:rsidR="00F3160E" w:rsidRPr="0055368F">
        <w:rPr>
          <w:rFonts w:ascii="Arial" w:hAnsi="Arial" w:cs="Arial"/>
          <w:sz w:val="20"/>
          <w:szCs w:val="20"/>
          <w:lang w:eastAsia="fi-FI"/>
        </w:rPr>
        <w:t>.</w:t>
      </w:r>
      <w:r w:rsidR="00F3160E">
        <w:rPr>
          <w:rFonts w:ascii="Arial" w:hAnsi="Arial" w:cs="Arial"/>
          <w:sz w:val="20"/>
          <w:szCs w:val="20"/>
          <w:lang w:eastAsia="fi-FI"/>
        </w:rPr>
        <w:t xml:space="preserve"> </w:t>
      </w:r>
    </w:p>
    <w:p w14:paraId="7E2204FE" w14:textId="0CB5CF93" w:rsidR="00F3160E" w:rsidRDefault="00F3160E" w:rsidP="00120D09">
      <w:pPr>
        <w:spacing w:after="260" w:line="260" w:lineRule="atLeast"/>
        <w:jc w:val="both"/>
        <w:rPr>
          <w:rFonts w:ascii="Arial" w:hAnsi="Arial" w:cs="Arial"/>
          <w:sz w:val="20"/>
          <w:szCs w:val="20"/>
          <w:lang w:eastAsia="fi-FI"/>
        </w:rPr>
      </w:pPr>
      <w:r>
        <w:rPr>
          <w:rFonts w:ascii="Arial" w:hAnsi="Arial" w:cs="Arial"/>
          <w:sz w:val="20"/>
          <w:szCs w:val="20"/>
          <w:lang w:eastAsia="fi-FI"/>
        </w:rPr>
        <w:t xml:space="preserve">The subject of this engagement is the final financial report </w:t>
      </w:r>
      <w:r w:rsidR="008A611E">
        <w:rPr>
          <w:rFonts w:ascii="Arial" w:hAnsi="Arial" w:cs="Arial"/>
          <w:sz w:val="20"/>
          <w:szCs w:val="20"/>
          <w:lang w:eastAsia="fi-FI"/>
        </w:rPr>
        <w:t xml:space="preserve">prepared by UCIPR </w:t>
      </w:r>
      <w:r w:rsidR="00CF6C8C">
        <w:rPr>
          <w:rFonts w:ascii="Arial" w:hAnsi="Arial" w:cs="Arial"/>
          <w:sz w:val="20"/>
          <w:szCs w:val="20"/>
          <w:lang w:eastAsia="fi-FI"/>
        </w:rPr>
        <w:t xml:space="preserve">(‘Reporting Entity’) </w:t>
      </w:r>
      <w:r w:rsidR="008A611E">
        <w:rPr>
          <w:rFonts w:ascii="Arial" w:hAnsi="Arial" w:cs="Arial"/>
          <w:sz w:val="20"/>
          <w:szCs w:val="20"/>
          <w:lang w:eastAsia="fi-FI"/>
        </w:rPr>
        <w:t xml:space="preserve">of their use of funds within the Action during the period covering </w:t>
      </w:r>
      <w:r w:rsidR="004139B1" w:rsidRPr="004139B1">
        <w:rPr>
          <w:rFonts w:ascii="Arial" w:hAnsi="Arial" w:cs="Arial"/>
          <w:sz w:val="20"/>
          <w:szCs w:val="20"/>
          <w:lang w:eastAsia="fi-FI"/>
        </w:rPr>
        <w:t>01</w:t>
      </w:r>
      <w:r w:rsidR="008A611E" w:rsidRPr="004139B1">
        <w:rPr>
          <w:rFonts w:ascii="Arial" w:hAnsi="Arial" w:cs="Arial"/>
          <w:sz w:val="20"/>
          <w:szCs w:val="20"/>
          <w:lang w:eastAsia="fi-FI"/>
        </w:rPr>
        <w:t>.</w:t>
      </w:r>
      <w:r w:rsidR="004139B1" w:rsidRPr="004139B1">
        <w:rPr>
          <w:rFonts w:ascii="Arial" w:hAnsi="Arial" w:cs="Arial"/>
          <w:sz w:val="20"/>
          <w:szCs w:val="20"/>
          <w:lang w:eastAsia="fi-FI"/>
        </w:rPr>
        <w:t>01</w:t>
      </w:r>
      <w:r w:rsidR="008A611E" w:rsidRPr="004139B1">
        <w:rPr>
          <w:rFonts w:ascii="Arial" w:hAnsi="Arial" w:cs="Arial"/>
          <w:sz w:val="20"/>
          <w:szCs w:val="20"/>
          <w:lang w:eastAsia="fi-FI"/>
        </w:rPr>
        <w:t>.20</w:t>
      </w:r>
      <w:r w:rsidR="004139B1" w:rsidRPr="004139B1">
        <w:rPr>
          <w:rFonts w:ascii="Arial" w:hAnsi="Arial" w:cs="Arial"/>
          <w:sz w:val="20"/>
          <w:szCs w:val="20"/>
          <w:lang w:eastAsia="fi-FI"/>
        </w:rPr>
        <w:t>22</w:t>
      </w:r>
      <w:r w:rsidR="008A611E" w:rsidRPr="004139B1">
        <w:rPr>
          <w:rFonts w:ascii="Arial" w:hAnsi="Arial" w:cs="Arial"/>
          <w:sz w:val="20"/>
          <w:szCs w:val="20"/>
          <w:lang w:eastAsia="fi-FI"/>
        </w:rPr>
        <w:t xml:space="preserve"> – </w:t>
      </w:r>
      <w:r w:rsidR="004139B1" w:rsidRPr="004139B1">
        <w:rPr>
          <w:rFonts w:ascii="Arial" w:hAnsi="Arial" w:cs="Arial"/>
          <w:sz w:val="20"/>
          <w:szCs w:val="20"/>
          <w:lang w:eastAsia="fi-FI"/>
        </w:rPr>
        <w:t>30</w:t>
      </w:r>
      <w:r w:rsidR="008A611E" w:rsidRPr="004139B1">
        <w:rPr>
          <w:rFonts w:ascii="Arial" w:hAnsi="Arial" w:cs="Arial"/>
          <w:sz w:val="20"/>
          <w:szCs w:val="20"/>
          <w:lang w:eastAsia="fi-FI"/>
        </w:rPr>
        <w:t>.</w:t>
      </w:r>
      <w:r w:rsidR="004139B1" w:rsidRPr="004139B1">
        <w:rPr>
          <w:rFonts w:ascii="Arial" w:hAnsi="Arial" w:cs="Arial"/>
          <w:sz w:val="20"/>
          <w:szCs w:val="20"/>
          <w:lang w:eastAsia="fi-FI"/>
        </w:rPr>
        <w:t>09</w:t>
      </w:r>
      <w:r w:rsidR="008A611E" w:rsidRPr="004139B1">
        <w:rPr>
          <w:rFonts w:ascii="Arial" w:hAnsi="Arial" w:cs="Arial"/>
          <w:sz w:val="20"/>
          <w:szCs w:val="20"/>
          <w:lang w:eastAsia="fi-FI"/>
        </w:rPr>
        <w:t>.202</w:t>
      </w:r>
      <w:r w:rsidR="004139B1" w:rsidRPr="004139B1">
        <w:rPr>
          <w:rFonts w:ascii="Arial" w:hAnsi="Arial" w:cs="Arial"/>
          <w:sz w:val="20"/>
          <w:szCs w:val="20"/>
          <w:lang w:eastAsia="fi-FI"/>
        </w:rPr>
        <w:t>3</w:t>
      </w:r>
      <w:r w:rsidR="008A611E">
        <w:rPr>
          <w:rFonts w:ascii="Arial" w:hAnsi="Arial" w:cs="Arial"/>
          <w:sz w:val="20"/>
          <w:szCs w:val="20"/>
          <w:lang w:eastAsia="fi-FI"/>
        </w:rPr>
        <w:t>. The expenditure verification is an engagement to perform the agreed-upon procedures detailed below.</w:t>
      </w:r>
    </w:p>
    <w:p w14:paraId="4F3E3AB2" w14:textId="01E5D575" w:rsidR="001D5FC5" w:rsidRPr="00122010" w:rsidRDefault="00122010" w:rsidP="00120D09">
      <w:pPr>
        <w:spacing w:after="260" w:line="260" w:lineRule="atLeast"/>
        <w:jc w:val="both"/>
        <w:rPr>
          <w:rFonts w:ascii="Arial" w:hAnsi="Arial" w:cs="Arial"/>
          <w:sz w:val="20"/>
          <w:szCs w:val="20"/>
          <w:lang w:eastAsia="fi-FI"/>
        </w:rPr>
      </w:pPr>
      <w:r w:rsidRPr="00122010">
        <w:rPr>
          <w:rFonts w:ascii="Arial" w:hAnsi="Arial" w:cs="Arial"/>
          <w:sz w:val="20"/>
          <w:szCs w:val="20"/>
          <w:lang w:eastAsia="fi-FI"/>
        </w:rPr>
        <w:t xml:space="preserve">In connection with the engagement, we will prepare a report </w:t>
      </w:r>
      <w:r w:rsidR="00A23954">
        <w:rPr>
          <w:rFonts w:ascii="Arial" w:hAnsi="Arial" w:cs="Arial"/>
          <w:sz w:val="20"/>
          <w:szCs w:val="20"/>
          <w:lang w:eastAsia="fi-FI"/>
        </w:rPr>
        <w:t>on our factual findings</w:t>
      </w:r>
      <w:r w:rsidRPr="00122010">
        <w:rPr>
          <w:rFonts w:ascii="Arial" w:hAnsi="Arial" w:cs="Arial"/>
          <w:sz w:val="20"/>
          <w:szCs w:val="20"/>
          <w:lang w:eastAsia="fi-FI"/>
        </w:rPr>
        <w:t xml:space="preserve"> based on the agreed upon procedures performed.</w:t>
      </w:r>
    </w:p>
    <w:p w14:paraId="62ED68B5" w14:textId="77777777" w:rsidR="00676F74" w:rsidRDefault="00676F74" w:rsidP="00120D09">
      <w:pPr>
        <w:spacing w:after="260" w:line="260" w:lineRule="atLeast"/>
        <w:jc w:val="both"/>
        <w:rPr>
          <w:rFonts w:ascii="Arial" w:hAnsi="Arial" w:cs="Arial"/>
          <w:sz w:val="20"/>
          <w:szCs w:val="20"/>
          <w:lang w:val="en-US" w:eastAsia="fi-FI"/>
        </w:rPr>
      </w:pPr>
    </w:p>
    <w:p w14:paraId="7725F854" w14:textId="40B7E38D" w:rsidR="00676F74" w:rsidRPr="008A611E" w:rsidRDefault="00676F74" w:rsidP="00120D09">
      <w:pPr>
        <w:pStyle w:val="a3"/>
        <w:numPr>
          <w:ilvl w:val="0"/>
          <w:numId w:val="3"/>
        </w:numPr>
        <w:spacing w:after="260" w:line="260" w:lineRule="atLeast"/>
        <w:jc w:val="both"/>
        <w:rPr>
          <w:rFonts w:ascii="Arial" w:hAnsi="Arial" w:cs="Arial"/>
          <w:b/>
          <w:bCs/>
          <w:lang w:val="en-US" w:eastAsia="fi-FI"/>
        </w:rPr>
      </w:pPr>
      <w:r w:rsidRPr="008A611E">
        <w:rPr>
          <w:rFonts w:ascii="Arial" w:hAnsi="Arial" w:cs="Arial"/>
          <w:b/>
          <w:bCs/>
          <w:lang w:val="en-US" w:eastAsia="fi-FI"/>
        </w:rPr>
        <w:t>Services to be provided</w:t>
      </w:r>
    </w:p>
    <w:p w14:paraId="215EA684" w14:textId="130CF4F3" w:rsidR="001D5FC5" w:rsidRDefault="001D5FC5" w:rsidP="00120D09">
      <w:pPr>
        <w:spacing w:after="260" w:line="260" w:lineRule="atLeast"/>
        <w:jc w:val="both"/>
        <w:rPr>
          <w:rFonts w:ascii="Arial" w:hAnsi="Arial" w:cs="Arial"/>
          <w:sz w:val="20"/>
          <w:szCs w:val="20"/>
          <w:lang w:val="en-US" w:eastAsia="fi-FI"/>
        </w:rPr>
      </w:pPr>
      <w:r>
        <w:rPr>
          <w:rFonts w:ascii="Arial" w:hAnsi="Arial" w:cs="Arial"/>
          <w:sz w:val="20"/>
          <w:szCs w:val="20"/>
          <w:lang w:val="en-US" w:eastAsia="fi-FI"/>
        </w:rPr>
        <w:t xml:space="preserve">We have agreed to perform the following procedures and report to you the factual findings from our work: </w:t>
      </w:r>
    </w:p>
    <w:p w14:paraId="4726E65A" w14:textId="0982A303" w:rsidR="001D5FC5" w:rsidRPr="00122E0D" w:rsidRDefault="00122E0D" w:rsidP="00120D09">
      <w:pPr>
        <w:numPr>
          <w:ilvl w:val="0"/>
          <w:numId w:val="1"/>
        </w:numPr>
        <w:spacing w:after="260" w:line="260" w:lineRule="atLeast"/>
        <w:jc w:val="both"/>
        <w:rPr>
          <w:rFonts w:ascii="Arial" w:hAnsi="Arial" w:cs="Arial"/>
          <w:b/>
          <w:bCs/>
          <w:i/>
          <w:iCs/>
          <w:sz w:val="20"/>
          <w:szCs w:val="20"/>
          <w:lang w:eastAsia="fi-FI"/>
        </w:rPr>
      </w:pPr>
      <w:r w:rsidRPr="00122E0D">
        <w:rPr>
          <w:rFonts w:ascii="Arial" w:hAnsi="Arial" w:cs="Arial"/>
          <w:b/>
          <w:bCs/>
          <w:i/>
          <w:iCs/>
          <w:sz w:val="20"/>
          <w:szCs w:val="20"/>
          <w:lang w:eastAsia="fi-FI"/>
        </w:rPr>
        <w:t>The expenditure was incurred and pertains to the Entity</w:t>
      </w:r>
    </w:p>
    <w:p w14:paraId="3A5FE0B7" w14:textId="789C770C" w:rsidR="001D5FC5" w:rsidRPr="00122E0D" w:rsidRDefault="00122E0D" w:rsidP="00120D09">
      <w:pPr>
        <w:numPr>
          <w:ilvl w:val="0"/>
          <w:numId w:val="1"/>
        </w:numPr>
        <w:spacing w:after="260" w:line="260" w:lineRule="atLeast"/>
        <w:jc w:val="both"/>
        <w:rPr>
          <w:rFonts w:ascii="Arial" w:hAnsi="Arial" w:cs="Arial"/>
          <w:b/>
          <w:bCs/>
          <w:i/>
          <w:iCs/>
          <w:sz w:val="20"/>
          <w:szCs w:val="20"/>
          <w:lang w:val="en-US" w:eastAsia="fi-FI"/>
        </w:rPr>
      </w:pPr>
      <w:r w:rsidRPr="00122E0D">
        <w:rPr>
          <w:rFonts w:ascii="Arial" w:hAnsi="Arial" w:cs="Arial"/>
          <w:b/>
          <w:bCs/>
          <w:i/>
          <w:iCs/>
          <w:sz w:val="20"/>
          <w:szCs w:val="20"/>
          <w:lang w:eastAsia="fi-FI"/>
        </w:rPr>
        <w:t>The expenditure is recorded in the accounting system of the Reporting Entity</w:t>
      </w:r>
    </w:p>
    <w:p w14:paraId="259010C8" w14:textId="7826691E" w:rsidR="00122E0D" w:rsidRPr="00122E0D" w:rsidRDefault="00122E0D" w:rsidP="00120D09">
      <w:pPr>
        <w:spacing w:after="260" w:line="260" w:lineRule="atLeast"/>
        <w:ind w:left="720"/>
        <w:jc w:val="both"/>
        <w:rPr>
          <w:rFonts w:ascii="Arial" w:hAnsi="Arial" w:cs="Arial"/>
          <w:sz w:val="20"/>
          <w:szCs w:val="20"/>
          <w:lang w:val="en-US" w:eastAsia="fi-FI"/>
        </w:rPr>
      </w:pPr>
      <w:r>
        <w:rPr>
          <w:rFonts w:ascii="Arial" w:hAnsi="Arial" w:cs="Arial"/>
          <w:sz w:val="20"/>
          <w:szCs w:val="20"/>
          <w:lang w:val="en-US" w:eastAsia="fi-FI"/>
        </w:rPr>
        <w:t>The expenditure is recorded in the accounting system of the Reporting Entity in accordance with the applicable accounting standards and the Reporting Entity’s usual cost accounting practi</w:t>
      </w:r>
      <w:r w:rsidR="00123283">
        <w:rPr>
          <w:rFonts w:ascii="Arial" w:hAnsi="Arial" w:cs="Arial"/>
          <w:sz w:val="20"/>
          <w:szCs w:val="20"/>
          <w:lang w:val="en-US" w:eastAsia="fi-FI"/>
        </w:rPr>
        <w:t>c</w:t>
      </w:r>
      <w:r>
        <w:rPr>
          <w:rFonts w:ascii="Arial" w:hAnsi="Arial" w:cs="Arial"/>
          <w:sz w:val="20"/>
          <w:szCs w:val="20"/>
          <w:lang w:val="en-US" w:eastAsia="fi-FI"/>
        </w:rPr>
        <w:t>es.</w:t>
      </w:r>
    </w:p>
    <w:p w14:paraId="0B3C940A" w14:textId="7CA736F6" w:rsidR="001D5FC5" w:rsidRPr="00122E0D" w:rsidRDefault="00122E0D" w:rsidP="00120D09">
      <w:pPr>
        <w:numPr>
          <w:ilvl w:val="0"/>
          <w:numId w:val="1"/>
        </w:numPr>
        <w:spacing w:after="260" w:line="260" w:lineRule="atLeast"/>
        <w:jc w:val="both"/>
        <w:rPr>
          <w:rFonts w:ascii="Arial" w:hAnsi="Arial" w:cs="Arial"/>
          <w:sz w:val="20"/>
          <w:szCs w:val="20"/>
          <w:lang w:eastAsia="fi-FI"/>
        </w:rPr>
      </w:pPr>
      <w:r w:rsidRPr="00CF6C8C">
        <w:rPr>
          <w:rFonts w:ascii="Arial" w:hAnsi="Arial" w:cs="Arial"/>
          <w:b/>
          <w:bCs/>
          <w:i/>
          <w:iCs/>
          <w:sz w:val="20"/>
          <w:szCs w:val="20"/>
          <w:lang w:eastAsia="fi-FI"/>
        </w:rPr>
        <w:t>Expe</w:t>
      </w:r>
      <w:r w:rsidRPr="00122E0D">
        <w:rPr>
          <w:rFonts w:ascii="Arial" w:hAnsi="Arial" w:cs="Arial"/>
          <w:b/>
          <w:bCs/>
          <w:i/>
          <w:iCs/>
          <w:sz w:val="20"/>
          <w:szCs w:val="20"/>
          <w:lang w:eastAsia="fi-FI"/>
        </w:rPr>
        <w:t>nditure incurred during the c</w:t>
      </w:r>
      <w:r>
        <w:rPr>
          <w:rFonts w:ascii="Arial" w:hAnsi="Arial" w:cs="Arial"/>
          <w:b/>
          <w:bCs/>
          <w:i/>
          <w:iCs/>
          <w:sz w:val="20"/>
          <w:szCs w:val="20"/>
          <w:lang w:eastAsia="fi-FI"/>
        </w:rPr>
        <w:t>ontractual eligibility period</w:t>
      </w:r>
    </w:p>
    <w:p w14:paraId="35F46ED6" w14:textId="399A7677" w:rsidR="00122E0D" w:rsidRDefault="00122E0D" w:rsidP="00120D09">
      <w:pPr>
        <w:spacing w:after="260" w:line="260" w:lineRule="atLeast"/>
        <w:ind w:left="720"/>
        <w:jc w:val="both"/>
        <w:rPr>
          <w:rFonts w:ascii="Arial" w:hAnsi="Arial" w:cs="Arial"/>
          <w:sz w:val="20"/>
          <w:szCs w:val="20"/>
          <w:lang w:eastAsia="fi-FI"/>
        </w:rPr>
      </w:pPr>
      <w:r>
        <w:rPr>
          <w:rFonts w:ascii="Arial" w:hAnsi="Arial" w:cs="Arial"/>
          <w:sz w:val="20"/>
          <w:szCs w:val="20"/>
          <w:lang w:eastAsia="fi-FI"/>
        </w:rPr>
        <w:t xml:space="preserve">The expenditure declared in the financial report was </w:t>
      </w:r>
      <w:r>
        <w:rPr>
          <w:rFonts w:ascii="Arial" w:hAnsi="Arial" w:cs="Arial"/>
          <w:sz w:val="20"/>
          <w:szCs w:val="20"/>
          <w:u w:val="single"/>
          <w:lang w:eastAsia="fi-FI"/>
        </w:rPr>
        <w:t>incurred</w:t>
      </w:r>
      <w:r>
        <w:rPr>
          <w:rFonts w:ascii="Arial" w:hAnsi="Arial" w:cs="Arial"/>
          <w:sz w:val="20"/>
          <w:szCs w:val="20"/>
          <w:lang w:eastAsia="fi-FI"/>
        </w:rPr>
        <w:t xml:space="preserve"> during the contractual implementation period of the </w:t>
      </w:r>
      <w:r w:rsidRPr="008A611E">
        <w:rPr>
          <w:rFonts w:ascii="Arial" w:hAnsi="Arial" w:cs="Arial"/>
          <w:sz w:val="20"/>
          <w:szCs w:val="20"/>
          <w:lang w:eastAsia="fi-FI"/>
        </w:rPr>
        <w:t>Action</w:t>
      </w:r>
      <w:r w:rsidRPr="00122E0D">
        <w:rPr>
          <w:rFonts w:ascii="Arial" w:hAnsi="Arial" w:cs="Arial"/>
          <w:sz w:val="20"/>
          <w:szCs w:val="20"/>
          <w:lang w:eastAsia="fi-FI"/>
        </w:rPr>
        <w:t xml:space="preserve">, except for expenditure relating to final reports, expenditure verification, audit and evaluation. Expenditure </w:t>
      </w:r>
      <w:r w:rsidRPr="00122E0D">
        <w:rPr>
          <w:rFonts w:ascii="Arial" w:hAnsi="Arial" w:cs="Arial"/>
          <w:sz w:val="20"/>
          <w:szCs w:val="20"/>
          <w:u w:val="single"/>
          <w:lang w:eastAsia="fi-FI"/>
        </w:rPr>
        <w:t>paid</w:t>
      </w:r>
      <w:r w:rsidRPr="00122E0D">
        <w:rPr>
          <w:rFonts w:ascii="Arial" w:hAnsi="Arial" w:cs="Arial"/>
          <w:sz w:val="20"/>
          <w:szCs w:val="20"/>
          <w:lang w:eastAsia="fi-FI"/>
        </w:rPr>
        <w:t xml:space="preserve"> after the submission of the financial report, s listed in the final report along with the estimated date of payments.</w:t>
      </w:r>
    </w:p>
    <w:p w14:paraId="75BF977B" w14:textId="72ACAAB1" w:rsidR="00122E0D" w:rsidRPr="00693653" w:rsidRDefault="00693653" w:rsidP="00120D09">
      <w:pPr>
        <w:pStyle w:val="a3"/>
        <w:numPr>
          <w:ilvl w:val="0"/>
          <w:numId w:val="1"/>
        </w:numPr>
        <w:spacing w:after="260" w:line="260" w:lineRule="atLeast"/>
        <w:jc w:val="both"/>
        <w:rPr>
          <w:rFonts w:ascii="Arial" w:hAnsi="Arial" w:cs="Arial"/>
          <w:sz w:val="20"/>
          <w:szCs w:val="20"/>
          <w:lang w:eastAsia="fi-FI"/>
        </w:rPr>
      </w:pPr>
      <w:r>
        <w:rPr>
          <w:rFonts w:ascii="Arial" w:hAnsi="Arial" w:cs="Arial"/>
          <w:b/>
          <w:bCs/>
          <w:i/>
          <w:iCs/>
          <w:sz w:val="20"/>
          <w:szCs w:val="20"/>
          <w:lang w:eastAsia="fi-FI"/>
        </w:rPr>
        <w:t>Expenditure indicated in the contractual estimated budget</w:t>
      </w:r>
    </w:p>
    <w:p w14:paraId="5BE4F091" w14:textId="77777777" w:rsidR="008C2742" w:rsidRP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The expenditure included in the financial report was indicated in the contractual budget.</w:t>
      </w:r>
    </w:p>
    <w:p w14:paraId="78EDCEDA" w14:textId="77777777" w:rsidR="008C2742" w:rsidRP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lastRenderedPageBreak/>
        <w:t>The applicable budget ceilings were not exceeded.</w:t>
      </w:r>
    </w:p>
    <w:p w14:paraId="4DFD7624" w14:textId="62060D62" w:rsid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The expenditure has been allocated to the correct heading of the Financial Report.</w:t>
      </w:r>
    </w:p>
    <w:p w14:paraId="0F5ED834" w14:textId="5D78F344" w:rsidR="008C2742" w:rsidRDefault="008C2742" w:rsidP="00120D09">
      <w:pPr>
        <w:pStyle w:val="a3"/>
        <w:numPr>
          <w:ilvl w:val="0"/>
          <w:numId w:val="1"/>
        </w:numPr>
        <w:spacing w:after="260" w:line="260" w:lineRule="atLeast"/>
        <w:jc w:val="both"/>
        <w:rPr>
          <w:rFonts w:ascii="Arial" w:hAnsi="Arial" w:cs="Arial"/>
          <w:b/>
          <w:bCs/>
          <w:i/>
          <w:iCs/>
          <w:sz w:val="20"/>
          <w:szCs w:val="20"/>
          <w:lang w:eastAsia="fi-FI"/>
        </w:rPr>
      </w:pPr>
      <w:r w:rsidRPr="008C2742">
        <w:rPr>
          <w:rFonts w:ascii="Arial" w:hAnsi="Arial" w:cs="Arial"/>
          <w:b/>
          <w:bCs/>
          <w:i/>
          <w:iCs/>
          <w:sz w:val="20"/>
          <w:szCs w:val="20"/>
          <w:lang w:eastAsia="fi-FI"/>
        </w:rPr>
        <w:t>Expenditure necessary for the implementation of the contractual activities, reasonable and justified</w:t>
      </w:r>
    </w:p>
    <w:p w14:paraId="715794DF" w14:textId="77777777" w:rsidR="008C2742" w:rsidRDefault="008C2742" w:rsidP="00120D09">
      <w:pPr>
        <w:pStyle w:val="a3"/>
        <w:spacing w:after="260" w:line="260" w:lineRule="atLeast"/>
        <w:jc w:val="both"/>
        <w:rPr>
          <w:rFonts w:ascii="Arial" w:hAnsi="Arial" w:cs="Arial"/>
          <w:sz w:val="20"/>
          <w:szCs w:val="20"/>
          <w:lang w:eastAsia="fi-FI"/>
        </w:rPr>
      </w:pPr>
    </w:p>
    <w:p w14:paraId="27E09ABB" w14:textId="47F7160A" w:rsidR="008C2742" w:rsidRDefault="008C2742" w:rsidP="00120D09">
      <w:pPr>
        <w:pStyle w:val="a3"/>
        <w:spacing w:after="260" w:line="260" w:lineRule="atLeast"/>
        <w:jc w:val="both"/>
        <w:rPr>
          <w:rFonts w:ascii="Arial" w:hAnsi="Arial" w:cs="Arial"/>
          <w:sz w:val="20"/>
          <w:szCs w:val="20"/>
          <w:lang w:eastAsia="fi-FI"/>
        </w:rPr>
      </w:pPr>
      <w:r w:rsidRPr="008C2742">
        <w:rPr>
          <w:rFonts w:ascii="Arial" w:hAnsi="Arial" w:cs="Arial"/>
          <w:sz w:val="20"/>
          <w:szCs w:val="20"/>
          <w:lang w:eastAsia="fi-FI"/>
        </w:rPr>
        <w:t>It is plausible that the direct and indirect expenditures included in the financial report were necessary for the implementation of the contractual activities.</w:t>
      </w:r>
    </w:p>
    <w:p w14:paraId="6D154E2E" w14:textId="77777777" w:rsidR="008C2742" w:rsidRPr="008C2742" w:rsidRDefault="008C2742" w:rsidP="00120D09">
      <w:pPr>
        <w:pStyle w:val="a3"/>
        <w:spacing w:after="260" w:line="260" w:lineRule="atLeast"/>
        <w:jc w:val="both"/>
        <w:rPr>
          <w:rFonts w:ascii="Arial" w:hAnsi="Arial" w:cs="Arial"/>
          <w:sz w:val="20"/>
          <w:szCs w:val="20"/>
          <w:lang w:eastAsia="fi-FI"/>
        </w:rPr>
      </w:pPr>
    </w:p>
    <w:p w14:paraId="6E9CC841" w14:textId="65651EAA" w:rsidR="008C2742" w:rsidRDefault="008C2742" w:rsidP="00120D09">
      <w:pPr>
        <w:pStyle w:val="a3"/>
        <w:spacing w:after="260" w:line="260" w:lineRule="atLeast"/>
        <w:jc w:val="both"/>
        <w:rPr>
          <w:rFonts w:ascii="Arial" w:hAnsi="Arial" w:cs="Arial"/>
          <w:sz w:val="20"/>
          <w:szCs w:val="20"/>
          <w:lang w:eastAsia="fi-FI"/>
        </w:rPr>
      </w:pPr>
      <w:r w:rsidRPr="008C2742">
        <w:rPr>
          <w:rFonts w:ascii="Arial" w:hAnsi="Arial" w:cs="Arial"/>
          <w:sz w:val="20"/>
          <w:szCs w:val="20"/>
          <w:lang w:eastAsia="fi-FI"/>
        </w:rPr>
        <w:t>The amount of the expenditure items included in the financial report is reasonable and justified and respects the principle of sound financial management.</w:t>
      </w:r>
    </w:p>
    <w:p w14:paraId="73564595" w14:textId="4FB85F90" w:rsidR="008C2742" w:rsidRDefault="008C2742" w:rsidP="00120D09">
      <w:pPr>
        <w:pStyle w:val="a3"/>
        <w:spacing w:after="260" w:line="260" w:lineRule="atLeast"/>
        <w:jc w:val="both"/>
        <w:rPr>
          <w:rFonts w:ascii="Arial" w:hAnsi="Arial" w:cs="Arial"/>
          <w:sz w:val="20"/>
          <w:szCs w:val="20"/>
          <w:lang w:eastAsia="fi-FI"/>
        </w:rPr>
      </w:pPr>
    </w:p>
    <w:p w14:paraId="6F36E9A8" w14:textId="1851CE08" w:rsidR="008C2742" w:rsidRPr="008C2742" w:rsidRDefault="008C2742" w:rsidP="00120D09">
      <w:pPr>
        <w:pStyle w:val="a3"/>
        <w:numPr>
          <w:ilvl w:val="0"/>
          <w:numId w:val="1"/>
        </w:numPr>
        <w:spacing w:after="260" w:line="260" w:lineRule="atLeast"/>
        <w:jc w:val="both"/>
        <w:rPr>
          <w:rFonts w:ascii="Arial" w:hAnsi="Arial" w:cs="Arial"/>
          <w:b/>
          <w:bCs/>
          <w:i/>
          <w:iCs/>
          <w:sz w:val="20"/>
          <w:szCs w:val="20"/>
          <w:lang w:eastAsia="fi-FI"/>
        </w:rPr>
      </w:pPr>
      <w:r w:rsidRPr="008C2742">
        <w:rPr>
          <w:rFonts w:ascii="Arial" w:hAnsi="Arial" w:cs="Arial"/>
          <w:b/>
          <w:bCs/>
          <w:i/>
          <w:iCs/>
          <w:sz w:val="20"/>
          <w:szCs w:val="20"/>
          <w:lang w:eastAsia="fi-FI"/>
        </w:rPr>
        <w:t>Expenditure identifiable and verifiable</w:t>
      </w:r>
    </w:p>
    <w:p w14:paraId="1A494688" w14:textId="77777777" w:rsid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The expenditure is backed up by sufficient supporting documentation (</w:t>
      </w:r>
      <w:proofErr w:type="gramStart"/>
      <w:r w:rsidRPr="008C2742">
        <w:rPr>
          <w:rFonts w:ascii="Arial" w:hAnsi="Arial" w:cs="Arial"/>
          <w:sz w:val="20"/>
          <w:szCs w:val="20"/>
          <w:lang w:eastAsia="fi-FI"/>
        </w:rPr>
        <w:t>e.g.</w:t>
      </w:r>
      <w:proofErr w:type="gramEnd"/>
      <w:r w:rsidRPr="008C2742">
        <w:rPr>
          <w:rFonts w:ascii="Arial" w:hAnsi="Arial" w:cs="Arial"/>
          <w:sz w:val="20"/>
          <w:szCs w:val="20"/>
          <w:lang w:eastAsia="fi-FI"/>
        </w:rPr>
        <w:t xml:space="preserve"> invoices, contracts, order forms, pay slips, time sheets) and proof of payment. </w:t>
      </w:r>
    </w:p>
    <w:p w14:paraId="62B40D79" w14:textId="48986AE2" w:rsidR="008C2742" w:rsidRP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Where expenditure was apportioned, the applied allocation key was based on sufficient, appropriate and verifiable underlying information.</w:t>
      </w:r>
    </w:p>
    <w:p w14:paraId="041969AC" w14:textId="73A058BD" w:rsid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The expenditure is backed up by evidence of works done, goods received or services rendered. The existence of assets is verifiable.</w:t>
      </w:r>
    </w:p>
    <w:p w14:paraId="69792F10" w14:textId="690F61EF" w:rsidR="008C2742" w:rsidRDefault="008C2742" w:rsidP="00120D09">
      <w:pPr>
        <w:spacing w:after="260" w:line="260" w:lineRule="atLeast"/>
        <w:ind w:left="720"/>
        <w:jc w:val="both"/>
        <w:rPr>
          <w:rFonts w:ascii="Arial" w:hAnsi="Arial" w:cs="Arial"/>
          <w:sz w:val="20"/>
          <w:szCs w:val="20"/>
          <w:lang w:eastAsia="fi-FI"/>
        </w:rPr>
      </w:pPr>
    </w:p>
    <w:p w14:paraId="5DB89791" w14:textId="1BC275F6" w:rsidR="008C2742" w:rsidRPr="008C2742" w:rsidRDefault="008C2742" w:rsidP="00120D09">
      <w:pPr>
        <w:pStyle w:val="a3"/>
        <w:numPr>
          <w:ilvl w:val="0"/>
          <w:numId w:val="1"/>
        </w:numPr>
        <w:spacing w:after="260" w:line="260" w:lineRule="atLeast"/>
        <w:jc w:val="both"/>
        <w:rPr>
          <w:rFonts w:ascii="Arial" w:hAnsi="Arial" w:cs="Arial"/>
          <w:b/>
          <w:bCs/>
          <w:i/>
          <w:iCs/>
          <w:sz w:val="20"/>
          <w:szCs w:val="20"/>
          <w:lang w:eastAsia="fi-FI"/>
        </w:rPr>
      </w:pPr>
      <w:r w:rsidRPr="008C2742">
        <w:rPr>
          <w:rFonts w:ascii="Arial" w:hAnsi="Arial" w:cs="Arial"/>
          <w:b/>
          <w:bCs/>
          <w:i/>
          <w:iCs/>
          <w:sz w:val="20"/>
          <w:szCs w:val="20"/>
          <w:lang w:eastAsia="fi-FI"/>
        </w:rPr>
        <w:t>Compliance with Procurement Principles and Nationality and Origin Rules</w:t>
      </w:r>
    </w:p>
    <w:p w14:paraId="0E2D07F6" w14:textId="402BBE07" w:rsid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 xml:space="preserve">For the expenditure items concerned, </w:t>
      </w:r>
      <w:r w:rsidRPr="00123283">
        <w:rPr>
          <w:rFonts w:ascii="Arial" w:hAnsi="Arial" w:cs="Arial"/>
          <w:sz w:val="20"/>
          <w:szCs w:val="20"/>
          <w:lang w:eastAsia="fi-FI"/>
        </w:rPr>
        <w:t xml:space="preserve">the </w:t>
      </w:r>
      <w:r w:rsidR="00123283" w:rsidRPr="00123283">
        <w:rPr>
          <w:rFonts w:ascii="Arial" w:hAnsi="Arial" w:cs="Arial"/>
          <w:sz w:val="20"/>
          <w:szCs w:val="20"/>
          <w:lang w:eastAsia="fi-FI"/>
        </w:rPr>
        <w:t>Reporting Entity</w:t>
      </w:r>
      <w:r w:rsidRPr="00123283">
        <w:rPr>
          <w:rFonts w:ascii="Arial" w:hAnsi="Arial" w:cs="Arial"/>
          <w:sz w:val="20"/>
          <w:szCs w:val="20"/>
          <w:lang w:eastAsia="fi-FI"/>
        </w:rPr>
        <w:t xml:space="preserve"> </w:t>
      </w:r>
      <w:r w:rsidRPr="008C2742">
        <w:rPr>
          <w:rFonts w:ascii="Arial" w:hAnsi="Arial" w:cs="Arial"/>
          <w:sz w:val="20"/>
          <w:szCs w:val="20"/>
          <w:lang w:eastAsia="fi-FI"/>
        </w:rPr>
        <w:t>has complied with the contractual requirements for procurement. Contractual nationality and origin rules have been applied, including those on derogations to be awarded by the Commission.</w:t>
      </w:r>
    </w:p>
    <w:p w14:paraId="0DE86F90" w14:textId="290C91CC" w:rsidR="008C2742" w:rsidRDefault="008C2742" w:rsidP="00120D09">
      <w:pPr>
        <w:spacing w:after="260" w:line="260" w:lineRule="atLeast"/>
        <w:ind w:left="720"/>
        <w:jc w:val="both"/>
        <w:rPr>
          <w:rFonts w:ascii="Arial" w:hAnsi="Arial" w:cs="Arial"/>
          <w:sz w:val="20"/>
          <w:szCs w:val="20"/>
          <w:lang w:eastAsia="fi-FI"/>
        </w:rPr>
      </w:pPr>
    </w:p>
    <w:p w14:paraId="23CA32A1" w14:textId="58FB922C" w:rsidR="008C2742" w:rsidRPr="008C2742" w:rsidRDefault="008C2742" w:rsidP="00120D09">
      <w:pPr>
        <w:pStyle w:val="a3"/>
        <w:numPr>
          <w:ilvl w:val="0"/>
          <w:numId w:val="1"/>
        </w:numPr>
        <w:spacing w:after="260" w:line="260" w:lineRule="atLeast"/>
        <w:jc w:val="both"/>
        <w:rPr>
          <w:rFonts w:ascii="Arial" w:hAnsi="Arial" w:cs="Arial"/>
          <w:b/>
          <w:bCs/>
          <w:i/>
          <w:iCs/>
          <w:sz w:val="20"/>
          <w:szCs w:val="20"/>
          <w:lang w:eastAsia="fi-FI"/>
        </w:rPr>
      </w:pPr>
      <w:r w:rsidRPr="008C2742">
        <w:rPr>
          <w:rFonts w:ascii="Arial" w:hAnsi="Arial" w:cs="Arial"/>
          <w:b/>
          <w:bCs/>
          <w:i/>
          <w:iCs/>
          <w:sz w:val="20"/>
          <w:szCs w:val="20"/>
          <w:lang w:eastAsia="fi-FI"/>
        </w:rPr>
        <w:t>Expenditure complies with the requirements of applicable tax and social legislation</w:t>
      </w:r>
    </w:p>
    <w:p w14:paraId="62421892" w14:textId="4E005FE2" w:rsid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For the expenditure items concerned, the</w:t>
      </w:r>
      <w:r w:rsidRPr="008C2742">
        <w:rPr>
          <w:rFonts w:ascii="Arial" w:hAnsi="Arial" w:cs="Arial"/>
          <w:color w:val="FF0000"/>
          <w:sz w:val="20"/>
          <w:szCs w:val="20"/>
          <w:lang w:eastAsia="fi-FI"/>
        </w:rPr>
        <w:t xml:space="preserve"> </w:t>
      </w:r>
      <w:r w:rsidR="00123283" w:rsidRPr="00123283">
        <w:rPr>
          <w:rFonts w:ascii="Arial" w:hAnsi="Arial" w:cs="Arial"/>
          <w:sz w:val="20"/>
          <w:szCs w:val="20"/>
          <w:lang w:eastAsia="fi-FI"/>
        </w:rPr>
        <w:t>Reporting Entity</w:t>
      </w:r>
      <w:r w:rsidRPr="00123283">
        <w:rPr>
          <w:rFonts w:ascii="Arial" w:hAnsi="Arial" w:cs="Arial"/>
          <w:sz w:val="20"/>
          <w:szCs w:val="20"/>
          <w:lang w:eastAsia="fi-FI"/>
        </w:rPr>
        <w:t xml:space="preserve"> </w:t>
      </w:r>
      <w:r w:rsidRPr="008C2742">
        <w:rPr>
          <w:rFonts w:ascii="Arial" w:hAnsi="Arial" w:cs="Arial"/>
          <w:sz w:val="20"/>
          <w:szCs w:val="20"/>
          <w:lang w:eastAsia="fi-FI"/>
        </w:rPr>
        <w:t>complies with the requirements of tax and social security legislation (for example: employer’s part of taxes, pension premiums and social security charges).</w:t>
      </w:r>
    </w:p>
    <w:p w14:paraId="17A2C1D7" w14:textId="59F322BB" w:rsidR="008C2742" w:rsidRDefault="008C2742" w:rsidP="00120D09">
      <w:pPr>
        <w:spacing w:after="260" w:line="260" w:lineRule="atLeast"/>
        <w:ind w:left="720"/>
        <w:jc w:val="both"/>
        <w:rPr>
          <w:rFonts w:ascii="Arial" w:hAnsi="Arial" w:cs="Arial"/>
          <w:sz w:val="20"/>
          <w:szCs w:val="20"/>
          <w:lang w:eastAsia="fi-FI"/>
        </w:rPr>
      </w:pPr>
    </w:p>
    <w:p w14:paraId="4FE333AD" w14:textId="1EFB297D" w:rsidR="008C2742" w:rsidRPr="008C2742" w:rsidRDefault="008C2742" w:rsidP="00120D09">
      <w:pPr>
        <w:pStyle w:val="a3"/>
        <w:numPr>
          <w:ilvl w:val="0"/>
          <w:numId w:val="1"/>
        </w:numPr>
        <w:spacing w:after="260" w:line="260" w:lineRule="atLeast"/>
        <w:jc w:val="both"/>
        <w:rPr>
          <w:rFonts w:ascii="Arial" w:hAnsi="Arial" w:cs="Arial"/>
          <w:b/>
          <w:bCs/>
          <w:i/>
          <w:iCs/>
          <w:sz w:val="20"/>
          <w:szCs w:val="20"/>
          <w:lang w:eastAsia="fi-FI"/>
        </w:rPr>
      </w:pPr>
      <w:r w:rsidRPr="008C2742">
        <w:rPr>
          <w:rFonts w:ascii="Arial" w:hAnsi="Arial" w:cs="Arial"/>
          <w:b/>
          <w:bCs/>
          <w:i/>
          <w:iCs/>
          <w:sz w:val="20"/>
          <w:szCs w:val="20"/>
          <w:lang w:eastAsia="fi-FI"/>
        </w:rPr>
        <w:t>Financial support to third parties (sub-granting)</w:t>
      </w:r>
    </w:p>
    <w:p w14:paraId="5A4252DB" w14:textId="77777777" w:rsidR="008C2742" w:rsidRP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Financial support to third parties is provided for by the contractual conditions and its amount does not exceed the contractual limits.</w:t>
      </w:r>
    </w:p>
    <w:p w14:paraId="5F8840AA" w14:textId="3B595610" w:rsid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The expenditure incurred by the third parties meets the relevant eligibility requirements. In particular it was incurred by and pertains to the third party, during the contractual eligibility period, is necessary for the implementation of the contractual activities and is identifiable and verifiable (see definition at point 2.6).</w:t>
      </w:r>
    </w:p>
    <w:p w14:paraId="529B30E1" w14:textId="77777777" w:rsidR="008C2742" w:rsidRDefault="008C2742" w:rsidP="00120D09">
      <w:pPr>
        <w:spacing w:after="260" w:line="260" w:lineRule="atLeast"/>
        <w:ind w:left="720"/>
        <w:jc w:val="both"/>
        <w:rPr>
          <w:rFonts w:ascii="Arial" w:hAnsi="Arial" w:cs="Arial"/>
          <w:sz w:val="20"/>
          <w:szCs w:val="20"/>
          <w:lang w:eastAsia="fi-FI"/>
        </w:rPr>
      </w:pPr>
    </w:p>
    <w:p w14:paraId="66BC5E5E" w14:textId="35FD5463" w:rsidR="008C2742" w:rsidRPr="008C2742" w:rsidRDefault="008C2742" w:rsidP="00120D09">
      <w:pPr>
        <w:pStyle w:val="a3"/>
        <w:numPr>
          <w:ilvl w:val="0"/>
          <w:numId w:val="1"/>
        </w:numPr>
        <w:spacing w:after="260" w:line="260" w:lineRule="atLeast"/>
        <w:jc w:val="both"/>
        <w:rPr>
          <w:rFonts w:ascii="Arial" w:hAnsi="Arial" w:cs="Arial"/>
          <w:b/>
          <w:bCs/>
          <w:i/>
          <w:iCs/>
          <w:sz w:val="20"/>
          <w:szCs w:val="20"/>
          <w:lang w:eastAsia="fi-FI"/>
        </w:rPr>
      </w:pPr>
      <w:r w:rsidRPr="008C2742">
        <w:rPr>
          <w:rFonts w:ascii="Arial" w:hAnsi="Arial" w:cs="Arial"/>
          <w:b/>
          <w:bCs/>
          <w:i/>
          <w:iCs/>
          <w:sz w:val="20"/>
          <w:szCs w:val="20"/>
          <w:lang w:eastAsia="fi-FI"/>
        </w:rPr>
        <w:lastRenderedPageBreak/>
        <w:t>Other eligibility requirements</w:t>
      </w:r>
    </w:p>
    <w:p w14:paraId="637D1D1B" w14:textId="77777777" w:rsidR="008C2742" w:rsidRP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Duties, taxes and charges, (</w:t>
      </w:r>
      <w:proofErr w:type="gramStart"/>
      <w:r w:rsidRPr="008C2742">
        <w:rPr>
          <w:rFonts w:ascii="Arial" w:hAnsi="Arial" w:cs="Arial"/>
          <w:sz w:val="20"/>
          <w:szCs w:val="20"/>
          <w:lang w:eastAsia="fi-FI"/>
        </w:rPr>
        <w:t>e.g.</w:t>
      </w:r>
      <w:proofErr w:type="gramEnd"/>
      <w:r w:rsidRPr="008C2742">
        <w:rPr>
          <w:rFonts w:ascii="Arial" w:hAnsi="Arial" w:cs="Arial"/>
          <w:sz w:val="20"/>
          <w:szCs w:val="20"/>
          <w:lang w:eastAsia="fi-FI"/>
        </w:rPr>
        <w:t xml:space="preserve"> VAT) included in the financial report cannot be recovered by the Entity unless otherwise provided for in the contractual conditions (accepted costs system). In the latter case these expenses are reported separately and relate to eligible direct expenditure.</w:t>
      </w:r>
    </w:p>
    <w:p w14:paraId="51D2704C" w14:textId="77777777" w:rsidR="008C2742" w:rsidRP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The correct exchange rates are used where applicable.</w:t>
      </w:r>
    </w:p>
    <w:p w14:paraId="112AE522" w14:textId="77777777" w:rsidR="008C2742" w:rsidRPr="00120D09" w:rsidRDefault="008C2742" w:rsidP="00120D09">
      <w:pPr>
        <w:spacing w:after="260" w:line="260" w:lineRule="atLeast"/>
        <w:ind w:left="720"/>
        <w:jc w:val="both"/>
        <w:rPr>
          <w:rFonts w:ascii="Arial" w:hAnsi="Arial" w:cs="Arial"/>
          <w:sz w:val="20"/>
          <w:szCs w:val="20"/>
          <w:lang w:eastAsia="fi-FI"/>
        </w:rPr>
      </w:pPr>
      <w:r w:rsidRPr="00120D09">
        <w:rPr>
          <w:rFonts w:ascii="Arial" w:hAnsi="Arial" w:cs="Arial"/>
          <w:sz w:val="20"/>
          <w:szCs w:val="20"/>
          <w:lang w:eastAsia="fi-FI"/>
        </w:rPr>
        <w:t>The contingency reserve has been established in accordance to the contractual conditions and its use authorised by the Contracting Authority.</w:t>
      </w:r>
    </w:p>
    <w:p w14:paraId="35A514CE" w14:textId="77777777" w:rsidR="008C2742" w:rsidRPr="008C2742" w:rsidRDefault="008C2742" w:rsidP="00120D09">
      <w:pPr>
        <w:spacing w:after="260" w:line="260" w:lineRule="atLeast"/>
        <w:ind w:left="720"/>
        <w:jc w:val="both"/>
        <w:rPr>
          <w:rFonts w:ascii="Arial" w:hAnsi="Arial" w:cs="Arial"/>
          <w:sz w:val="20"/>
          <w:szCs w:val="20"/>
          <w:lang w:eastAsia="fi-FI"/>
        </w:rPr>
      </w:pPr>
      <w:r w:rsidRPr="00120D09">
        <w:rPr>
          <w:rFonts w:ascii="Arial" w:hAnsi="Arial" w:cs="Arial"/>
          <w:sz w:val="20"/>
          <w:szCs w:val="20"/>
          <w:lang w:eastAsia="fi-FI"/>
        </w:rPr>
        <w:t>The indirect costs do not exceed the maximum contractual percentage of the eligible direct costs and do not include ineligible expenses or expenses already declared as direct ones.</w:t>
      </w:r>
    </w:p>
    <w:p w14:paraId="191BF94E" w14:textId="77777777" w:rsidR="008C2742" w:rsidRP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Contributions in kind are not included in the financial report, unless otherwise provided for in the contractual conditions.</w:t>
      </w:r>
    </w:p>
    <w:p w14:paraId="6137F056" w14:textId="77777777" w:rsidR="008C2742" w:rsidRP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Expenditure specifically considered ineligible by the contractual conditions is not included in the financial report.</w:t>
      </w:r>
    </w:p>
    <w:p w14:paraId="3A0C0CA0" w14:textId="77777777" w:rsidR="008C2742" w:rsidRP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Expenditure declared under the simplified cost options respects the contractual requirements.</w:t>
      </w:r>
    </w:p>
    <w:p w14:paraId="7B4D39DA" w14:textId="56E5E20D" w:rsidR="008C2742" w:rsidRDefault="008C2742" w:rsidP="00120D09">
      <w:pPr>
        <w:spacing w:after="260" w:line="260" w:lineRule="atLeast"/>
        <w:ind w:left="720"/>
        <w:jc w:val="both"/>
        <w:rPr>
          <w:rFonts w:ascii="Arial" w:hAnsi="Arial" w:cs="Arial"/>
          <w:sz w:val="20"/>
          <w:szCs w:val="20"/>
          <w:lang w:eastAsia="fi-FI"/>
        </w:rPr>
      </w:pPr>
      <w:r w:rsidRPr="008C2742">
        <w:rPr>
          <w:rFonts w:ascii="Arial" w:hAnsi="Arial" w:cs="Arial"/>
          <w:sz w:val="20"/>
          <w:szCs w:val="20"/>
          <w:lang w:eastAsia="fi-FI"/>
        </w:rPr>
        <w:t xml:space="preserve">The revenues generated by the </w:t>
      </w:r>
      <w:r w:rsidR="00123283">
        <w:rPr>
          <w:rFonts w:ascii="Arial" w:hAnsi="Arial" w:cs="Arial"/>
          <w:sz w:val="20"/>
          <w:szCs w:val="20"/>
          <w:lang w:eastAsia="fi-FI"/>
        </w:rPr>
        <w:t>Reporting Entity</w:t>
      </w:r>
      <w:r w:rsidRPr="008C2742">
        <w:rPr>
          <w:rFonts w:ascii="Arial" w:hAnsi="Arial" w:cs="Arial"/>
          <w:sz w:val="20"/>
          <w:szCs w:val="20"/>
          <w:lang w:eastAsia="fi-FI"/>
        </w:rPr>
        <w:t xml:space="preserve"> in the execution of the contract are disclosed in the financial report and deducted from the declared expenditure, unless otherwise provided for in the contractual conditions.</w:t>
      </w:r>
    </w:p>
    <w:p w14:paraId="4C1DFAF1" w14:textId="3530D0CF" w:rsidR="008E0CE9" w:rsidRDefault="008E0CE9" w:rsidP="00120D09">
      <w:pPr>
        <w:spacing w:after="260" w:line="260" w:lineRule="atLeast"/>
        <w:ind w:left="720"/>
        <w:jc w:val="both"/>
        <w:rPr>
          <w:rFonts w:ascii="Arial" w:hAnsi="Arial" w:cs="Arial"/>
          <w:sz w:val="20"/>
          <w:szCs w:val="20"/>
          <w:lang w:eastAsia="fi-FI"/>
        </w:rPr>
      </w:pPr>
    </w:p>
    <w:p w14:paraId="2CC76633" w14:textId="78A87390" w:rsidR="008E0CE9" w:rsidRDefault="008E0CE9" w:rsidP="00120D09">
      <w:pPr>
        <w:spacing w:after="260" w:line="260" w:lineRule="atLeast"/>
        <w:ind w:left="720"/>
        <w:jc w:val="both"/>
        <w:rPr>
          <w:rFonts w:ascii="Arial" w:hAnsi="Arial" w:cs="Arial"/>
          <w:sz w:val="20"/>
          <w:szCs w:val="20"/>
          <w:lang w:eastAsia="fi-FI"/>
        </w:rPr>
      </w:pPr>
    </w:p>
    <w:p w14:paraId="71664EA0" w14:textId="7BDFF1C7" w:rsidR="008E0CE9" w:rsidRPr="00CF6C8C" w:rsidRDefault="008E0CE9" w:rsidP="00120D09">
      <w:pPr>
        <w:pStyle w:val="a3"/>
        <w:numPr>
          <w:ilvl w:val="0"/>
          <w:numId w:val="3"/>
        </w:numPr>
        <w:spacing w:after="260" w:line="260" w:lineRule="atLeast"/>
        <w:jc w:val="both"/>
        <w:rPr>
          <w:rFonts w:ascii="Arial" w:hAnsi="Arial" w:cs="Arial"/>
          <w:b/>
          <w:bCs/>
          <w:lang w:eastAsia="fi-FI"/>
        </w:rPr>
      </w:pPr>
      <w:r w:rsidRPr="00CF6C8C">
        <w:rPr>
          <w:rFonts w:ascii="Arial" w:hAnsi="Arial" w:cs="Arial"/>
          <w:b/>
          <w:bCs/>
          <w:lang w:eastAsia="fi-FI"/>
        </w:rPr>
        <w:t>Sample size</w:t>
      </w:r>
    </w:p>
    <w:p w14:paraId="245CAB64" w14:textId="63B905BA" w:rsidR="008E0CE9" w:rsidRPr="008E0CE9" w:rsidRDefault="008E0CE9" w:rsidP="00120D09">
      <w:pPr>
        <w:spacing w:after="260" w:line="260" w:lineRule="atLeast"/>
        <w:ind w:left="720"/>
        <w:jc w:val="both"/>
        <w:rPr>
          <w:rFonts w:ascii="Arial" w:hAnsi="Arial" w:cs="Arial"/>
          <w:sz w:val="20"/>
          <w:szCs w:val="20"/>
          <w:lang w:eastAsia="fi-FI"/>
        </w:rPr>
      </w:pPr>
      <w:r>
        <w:rPr>
          <w:rFonts w:ascii="Arial" w:hAnsi="Arial" w:cs="Arial"/>
          <w:sz w:val="20"/>
          <w:szCs w:val="20"/>
          <w:lang w:eastAsia="fi-FI"/>
        </w:rPr>
        <w:t>For the purpose of determining what the overall material misstatement or error is, the Expenditure Verifier will apply a materiality threshold of 2% of the total amount of the gross reported expenditure with a confidence level of 95%.</w:t>
      </w:r>
    </w:p>
    <w:p w14:paraId="52AF9F8D" w14:textId="77777777" w:rsidR="008C2742" w:rsidRPr="008C2742" w:rsidRDefault="008C2742" w:rsidP="00120D09">
      <w:pPr>
        <w:spacing w:after="260" w:line="260" w:lineRule="atLeast"/>
        <w:ind w:left="720"/>
        <w:jc w:val="both"/>
        <w:rPr>
          <w:rFonts w:ascii="Arial" w:hAnsi="Arial" w:cs="Arial"/>
          <w:sz w:val="20"/>
          <w:szCs w:val="20"/>
          <w:lang w:eastAsia="fi-FI"/>
        </w:rPr>
      </w:pPr>
    </w:p>
    <w:p w14:paraId="3EF93033" w14:textId="78BAF27C" w:rsidR="00676F74" w:rsidRDefault="00676F74" w:rsidP="00120D09">
      <w:pPr>
        <w:spacing w:after="260" w:line="260" w:lineRule="atLeast"/>
        <w:jc w:val="both"/>
        <w:rPr>
          <w:rFonts w:ascii="Arial" w:hAnsi="Arial" w:cs="Arial"/>
          <w:sz w:val="20"/>
          <w:szCs w:val="20"/>
          <w:lang w:val="en-US" w:eastAsia="fi-FI"/>
        </w:rPr>
      </w:pPr>
    </w:p>
    <w:p w14:paraId="36F576B5" w14:textId="6A7C7846" w:rsidR="00676F74" w:rsidRPr="00AE2119" w:rsidRDefault="00676F74" w:rsidP="00120D09">
      <w:pPr>
        <w:pStyle w:val="a3"/>
        <w:numPr>
          <w:ilvl w:val="0"/>
          <w:numId w:val="3"/>
        </w:numPr>
        <w:spacing w:after="260" w:line="260" w:lineRule="atLeast"/>
        <w:jc w:val="both"/>
        <w:rPr>
          <w:rFonts w:ascii="Arial" w:hAnsi="Arial" w:cs="Arial"/>
          <w:b/>
          <w:bCs/>
          <w:lang w:val="en-US" w:eastAsia="fi-FI"/>
        </w:rPr>
      </w:pPr>
      <w:r w:rsidRPr="00AE2119">
        <w:rPr>
          <w:rFonts w:ascii="Arial" w:hAnsi="Arial" w:cs="Arial"/>
          <w:b/>
          <w:bCs/>
          <w:lang w:val="en-US" w:eastAsia="fi-FI"/>
        </w:rPr>
        <w:t>Timetable and fees</w:t>
      </w:r>
    </w:p>
    <w:p w14:paraId="392619BA" w14:textId="07024BDB" w:rsidR="001D5FC5" w:rsidRDefault="001D5FC5" w:rsidP="00120D09">
      <w:pPr>
        <w:spacing w:after="260" w:line="260" w:lineRule="atLeast"/>
        <w:ind w:left="720"/>
        <w:jc w:val="both"/>
        <w:rPr>
          <w:rFonts w:ascii="Arial" w:hAnsi="Arial" w:cs="Arial"/>
          <w:sz w:val="20"/>
          <w:szCs w:val="20"/>
          <w:lang w:val="en-US" w:eastAsia="fi-FI"/>
        </w:rPr>
      </w:pPr>
      <w:r>
        <w:rPr>
          <w:rFonts w:ascii="Arial" w:hAnsi="Arial" w:cs="Arial"/>
          <w:sz w:val="20"/>
          <w:szCs w:val="20"/>
          <w:lang w:val="en-US" w:eastAsia="fi-FI"/>
        </w:rPr>
        <w:t xml:space="preserve">We expect the work to be finalized and reported to you by </w:t>
      </w:r>
      <w:r w:rsidR="002A0940">
        <w:rPr>
          <w:rFonts w:ascii="Arial" w:hAnsi="Arial" w:cs="Arial"/>
          <w:sz w:val="20"/>
          <w:szCs w:val="20"/>
          <w:lang w:val="en-US" w:eastAsia="fi-FI"/>
        </w:rPr>
        <w:t>XX</w:t>
      </w:r>
      <w:r>
        <w:rPr>
          <w:rFonts w:ascii="Arial" w:hAnsi="Arial" w:cs="Arial"/>
          <w:sz w:val="20"/>
          <w:szCs w:val="20"/>
          <w:lang w:val="en-US" w:eastAsia="fi-FI"/>
        </w:rPr>
        <w:t>.</w:t>
      </w:r>
      <w:r w:rsidR="002A0940">
        <w:rPr>
          <w:rFonts w:ascii="Arial" w:hAnsi="Arial" w:cs="Arial"/>
          <w:sz w:val="20"/>
          <w:szCs w:val="20"/>
          <w:lang w:val="en-US" w:eastAsia="fi-FI"/>
        </w:rPr>
        <w:t>XX</w:t>
      </w:r>
      <w:r>
        <w:rPr>
          <w:rFonts w:ascii="Arial" w:hAnsi="Arial" w:cs="Arial"/>
          <w:sz w:val="20"/>
          <w:szCs w:val="20"/>
          <w:lang w:val="en-US" w:eastAsia="fi-FI"/>
        </w:rPr>
        <w:t>.</w:t>
      </w:r>
      <w:r w:rsidR="00120D09">
        <w:rPr>
          <w:rFonts w:ascii="Arial" w:hAnsi="Arial" w:cs="Arial"/>
          <w:sz w:val="20"/>
          <w:szCs w:val="20"/>
          <w:lang w:val="en-US" w:eastAsia="fi-FI"/>
        </w:rPr>
        <w:t>20</w:t>
      </w:r>
      <w:r w:rsidR="002A0940">
        <w:rPr>
          <w:rFonts w:ascii="Arial" w:hAnsi="Arial" w:cs="Arial"/>
          <w:sz w:val="20"/>
          <w:szCs w:val="20"/>
          <w:lang w:val="en-US" w:eastAsia="fi-FI"/>
        </w:rPr>
        <w:t>X</w:t>
      </w:r>
      <w:r w:rsidR="00676F74">
        <w:rPr>
          <w:rFonts w:ascii="Arial" w:hAnsi="Arial" w:cs="Arial"/>
          <w:sz w:val="20"/>
          <w:szCs w:val="20"/>
          <w:lang w:val="en-US" w:eastAsia="fi-FI"/>
        </w:rPr>
        <w:t xml:space="preserve">. </w:t>
      </w:r>
      <w:r>
        <w:rPr>
          <w:rFonts w:ascii="Arial" w:hAnsi="Arial" w:cs="Arial"/>
          <w:sz w:val="20"/>
          <w:szCs w:val="20"/>
          <w:lang w:val="en-US" w:eastAsia="fi-FI"/>
        </w:rPr>
        <w:t>We e</w:t>
      </w:r>
      <w:r w:rsidR="00676F74">
        <w:rPr>
          <w:rFonts w:ascii="Arial" w:hAnsi="Arial" w:cs="Arial"/>
          <w:sz w:val="20"/>
          <w:szCs w:val="20"/>
          <w:lang w:val="en-US" w:eastAsia="fi-FI"/>
        </w:rPr>
        <w:t>stimate</w:t>
      </w:r>
      <w:r>
        <w:rPr>
          <w:rFonts w:ascii="Arial" w:hAnsi="Arial" w:cs="Arial"/>
          <w:sz w:val="20"/>
          <w:szCs w:val="20"/>
          <w:lang w:val="en-US" w:eastAsia="fi-FI"/>
        </w:rPr>
        <w:t xml:space="preserve"> the fees to be </w:t>
      </w:r>
      <w:r w:rsidR="002A0940">
        <w:rPr>
          <w:rFonts w:ascii="Arial" w:hAnsi="Arial" w:cs="Arial"/>
          <w:sz w:val="20"/>
          <w:szCs w:val="20"/>
          <w:lang w:val="en-US" w:eastAsia="fi-FI"/>
        </w:rPr>
        <w:t>x</w:t>
      </w:r>
      <w:r>
        <w:rPr>
          <w:rFonts w:ascii="Arial" w:hAnsi="Arial" w:cs="Arial"/>
          <w:sz w:val="20"/>
          <w:szCs w:val="20"/>
          <w:lang w:val="en-US" w:eastAsia="fi-FI"/>
        </w:rPr>
        <w:t xml:space="preserve"> – </w:t>
      </w:r>
      <w:r w:rsidR="002A0940">
        <w:rPr>
          <w:rFonts w:ascii="Arial" w:hAnsi="Arial" w:cs="Arial"/>
          <w:sz w:val="20"/>
          <w:szCs w:val="20"/>
          <w:lang w:val="en-US" w:eastAsia="fi-FI"/>
        </w:rPr>
        <w:t>y</w:t>
      </w:r>
      <w:r>
        <w:rPr>
          <w:rFonts w:ascii="Arial" w:hAnsi="Arial" w:cs="Arial"/>
          <w:sz w:val="20"/>
          <w:szCs w:val="20"/>
          <w:lang w:val="en-US" w:eastAsia="fi-FI"/>
        </w:rPr>
        <w:t xml:space="preserve"> </w:t>
      </w:r>
      <w:r w:rsidRPr="00FB1D73">
        <w:rPr>
          <w:rFonts w:ascii="Arial" w:hAnsi="Arial" w:cs="Arial"/>
          <w:sz w:val="20"/>
          <w:szCs w:val="20"/>
          <w:lang w:val="en-US" w:eastAsia="fi-FI"/>
        </w:rPr>
        <w:t>euros</w:t>
      </w:r>
      <w:r>
        <w:rPr>
          <w:rFonts w:ascii="Arial" w:hAnsi="Arial" w:cs="Arial"/>
          <w:sz w:val="20"/>
          <w:szCs w:val="20"/>
          <w:lang w:val="en-US" w:eastAsia="fi-FI"/>
        </w:rPr>
        <w:t xml:space="preserve"> (not including VAT and expenses). </w:t>
      </w:r>
    </w:p>
    <w:p w14:paraId="32B9FD7D" w14:textId="77777777" w:rsidR="001D5FC5" w:rsidRPr="001D5FC5" w:rsidRDefault="001D5FC5" w:rsidP="00120D09">
      <w:pPr>
        <w:jc w:val="both"/>
        <w:rPr>
          <w:lang w:val="en-US"/>
        </w:rPr>
      </w:pPr>
    </w:p>
    <w:sectPr w:rsidR="001D5FC5" w:rsidRPr="001D5FC5">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66FD7"/>
    <w:multiLevelType w:val="hybridMultilevel"/>
    <w:tmpl w:val="FC443EF0"/>
    <w:lvl w:ilvl="0" w:tplc="040B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8191A06"/>
    <w:multiLevelType w:val="hybridMultilevel"/>
    <w:tmpl w:val="FB662100"/>
    <w:lvl w:ilvl="0" w:tplc="040B000F">
      <w:start w:val="1"/>
      <w:numFmt w:val="decimal"/>
      <w:lvlText w:val="%1."/>
      <w:lvlJc w:val="left"/>
      <w:pPr>
        <w:ind w:left="720" w:hanging="360"/>
      </w:p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2" w15:restartNumberingAfterBreak="0">
    <w:nsid w:val="4B5B36A8"/>
    <w:multiLevelType w:val="hybridMultilevel"/>
    <w:tmpl w:val="244E06A8"/>
    <w:lvl w:ilvl="0" w:tplc="040B000F">
      <w:start w:val="1"/>
      <w:numFmt w:val="decimal"/>
      <w:lvlText w:val="%1."/>
      <w:lvlJc w:val="left"/>
      <w:pPr>
        <w:ind w:left="720" w:hanging="360"/>
      </w:p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num w:numId="1" w16cid:durableId="1633292647">
    <w:abstractNumId w:val="2"/>
  </w:num>
  <w:num w:numId="2" w16cid:durableId="872425974">
    <w:abstractNumId w:val="2"/>
  </w:num>
  <w:num w:numId="3" w16cid:durableId="1274824405">
    <w:abstractNumId w:val="0"/>
  </w:num>
  <w:num w:numId="4" w16cid:durableId="989403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66"/>
    <w:rsid w:val="00120D09"/>
    <w:rsid w:val="00122010"/>
    <w:rsid w:val="00122E0D"/>
    <w:rsid w:val="00123283"/>
    <w:rsid w:val="001B24F9"/>
    <w:rsid w:val="001D5FC5"/>
    <w:rsid w:val="002A0940"/>
    <w:rsid w:val="002F195B"/>
    <w:rsid w:val="004139B1"/>
    <w:rsid w:val="00457950"/>
    <w:rsid w:val="004877BF"/>
    <w:rsid w:val="00540FC5"/>
    <w:rsid w:val="0055368F"/>
    <w:rsid w:val="00676F74"/>
    <w:rsid w:val="00693653"/>
    <w:rsid w:val="00774DAB"/>
    <w:rsid w:val="008A611E"/>
    <w:rsid w:val="008C2742"/>
    <w:rsid w:val="008E0CE9"/>
    <w:rsid w:val="00916592"/>
    <w:rsid w:val="009F3225"/>
    <w:rsid w:val="00A23954"/>
    <w:rsid w:val="00AE2119"/>
    <w:rsid w:val="00B1393C"/>
    <w:rsid w:val="00B37966"/>
    <w:rsid w:val="00C058AB"/>
    <w:rsid w:val="00C1326E"/>
    <w:rsid w:val="00CD50C8"/>
    <w:rsid w:val="00CF6C8C"/>
    <w:rsid w:val="00DD705B"/>
    <w:rsid w:val="00DF741F"/>
    <w:rsid w:val="00EB6F8D"/>
    <w:rsid w:val="00F3160E"/>
    <w:rsid w:val="00FB1D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27150"/>
  <w15:chartTrackingRefBased/>
  <w15:docId w15:val="{0E61354C-9243-4D22-9D67-07C6E7656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653"/>
    <w:pPr>
      <w:ind w:left="720"/>
      <w:contextualSpacing/>
    </w:pPr>
  </w:style>
  <w:style w:type="character" w:styleId="a4">
    <w:name w:val="annotation reference"/>
    <w:basedOn w:val="a0"/>
    <w:uiPriority w:val="99"/>
    <w:semiHidden/>
    <w:unhideWhenUsed/>
    <w:rsid w:val="00AE2119"/>
    <w:rPr>
      <w:sz w:val="16"/>
      <w:szCs w:val="16"/>
    </w:rPr>
  </w:style>
  <w:style w:type="paragraph" w:styleId="a5">
    <w:name w:val="annotation text"/>
    <w:basedOn w:val="a"/>
    <w:link w:val="a6"/>
    <w:uiPriority w:val="99"/>
    <w:semiHidden/>
    <w:unhideWhenUsed/>
    <w:rsid w:val="00AE2119"/>
    <w:pPr>
      <w:spacing w:line="240" w:lineRule="auto"/>
    </w:pPr>
    <w:rPr>
      <w:sz w:val="20"/>
      <w:szCs w:val="20"/>
    </w:rPr>
  </w:style>
  <w:style w:type="character" w:customStyle="1" w:styleId="a6">
    <w:name w:val="Текст примітки Знак"/>
    <w:basedOn w:val="a0"/>
    <w:link w:val="a5"/>
    <w:uiPriority w:val="99"/>
    <w:semiHidden/>
    <w:rsid w:val="00AE2119"/>
    <w:rPr>
      <w:sz w:val="20"/>
      <w:szCs w:val="20"/>
    </w:rPr>
  </w:style>
  <w:style w:type="paragraph" w:styleId="a7">
    <w:name w:val="annotation subject"/>
    <w:basedOn w:val="a5"/>
    <w:next w:val="a5"/>
    <w:link w:val="a8"/>
    <w:uiPriority w:val="99"/>
    <w:semiHidden/>
    <w:unhideWhenUsed/>
    <w:rsid w:val="00AE2119"/>
    <w:rPr>
      <w:b/>
      <w:bCs/>
    </w:rPr>
  </w:style>
  <w:style w:type="character" w:customStyle="1" w:styleId="a8">
    <w:name w:val="Тема примітки Знак"/>
    <w:basedOn w:val="a6"/>
    <w:link w:val="a7"/>
    <w:uiPriority w:val="99"/>
    <w:semiHidden/>
    <w:rsid w:val="00AE2119"/>
    <w:rPr>
      <w:b/>
      <w:bCs/>
      <w:sz w:val="20"/>
      <w:szCs w:val="20"/>
    </w:rPr>
  </w:style>
  <w:style w:type="paragraph" w:styleId="a9">
    <w:name w:val="Balloon Text"/>
    <w:basedOn w:val="a"/>
    <w:link w:val="aa"/>
    <w:uiPriority w:val="99"/>
    <w:semiHidden/>
    <w:unhideWhenUsed/>
    <w:rsid w:val="00AE2119"/>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AE21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39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4077</Words>
  <Characters>2324</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Slotte</dc:creator>
  <cp:keywords/>
  <dc:description/>
  <cp:lastModifiedBy>Tetiana Alve</cp:lastModifiedBy>
  <cp:revision>2</cp:revision>
  <dcterms:created xsi:type="dcterms:W3CDTF">2023-10-30T13:14:00Z</dcterms:created>
  <dcterms:modified xsi:type="dcterms:W3CDTF">2023-10-30T13:14:00Z</dcterms:modified>
</cp:coreProperties>
</file>