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8255</wp:posOffset>
            </wp:positionV>
            <wp:extent cx="563880" cy="884337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3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та захист прав і свобод та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Опис послуг</w:t>
      </w:r>
    </w:p>
    <w:p w:rsidR="00000000" w:rsidDel="00000000" w:rsidP="00000000" w:rsidRDefault="00000000" w:rsidRPr="00000000" w14:paraId="0000000B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Від постачальника послуг очікується: 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забезпечення роботи серверів організації;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забезпечення належного функціонування внутрішньої мережі та доступу до Інтернету; 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забезпечення безперебійної роботи сайтів організації, пошти організації; 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встановлення програмного забезпечення на нові комп'ютери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підключення пристроїв (принтери, сканери, проектори тощо);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телефонні, онлайн та особисті консультації для співробітників з усіх відповідних питань; 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установка, підтримка та оновлення програмного забезпечення;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дрібний ремонт комп'ютерної техніки;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підбір та встановлення нової оргтехніки або деталей до наявної техніки;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придбання комплектуючих для комп’ютерної техніки;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вирішення конкретних проблем з роботою програмного забезпечення у співробітників організації;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підтримка віддаленого доступу роботи;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забезпечення придбання пакетів онлайн платформ;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забезпечення збереження інформації;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забезпечення доступу до хмарних сервісів;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забезпечення антивірусним захистом;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надання висновків щодо стану комп’ютерної техніки та супутнього обладнання.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Очікувана тривалість надання послуги – рік з моменту укладання договору з можливістю продовження на один рік.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Кваліфікаційні критерії</w:t>
      </w:r>
    </w:p>
    <w:p w:rsidR="00000000" w:rsidDel="00000000" w:rsidP="00000000" w:rsidRDefault="00000000" w:rsidRPr="00000000" w14:paraId="00000022">
      <w:pPr>
        <w:spacing w:after="0" w:line="240" w:lineRule="auto"/>
        <w:ind w:left="426" w:firstLine="70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Суб’єкт підприємницької діяльності згідно із законодавством України (юридична або фізична особа). Необхідно надати скан-копії реєстраційних документів,  що  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наявності). Зверніть увагу, що реєстрація фізичної особи-підприємця повинні бути на території, що перебуває під управлінням уряду України;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Знання та володіння програмами UNIX (Free BSD), Windows, Web mail (mail server), Web server.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Наявність сертифікатів адміністрування програм Windows, UNIX;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Надання рахунків для оплати послуг без ПДВ.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Ключові критерії оцінки конкурсних пропозицій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Тендерна пропозиція (разом з додатками до неї) має відповідати наступним критеріям: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Відповідність завданням та умовам тендеру;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Конкурентоздатні та реалістичні розцінки.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Наявний досвід в наданні аналогічних послуг не менше 2 років</w:t>
      </w:r>
    </w:p>
    <w:p w:rsidR="00000000" w:rsidDel="00000000" w:rsidP="00000000" w:rsidRDefault="00000000" w:rsidRPr="00000000" w14:paraId="0000002E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Пропозиції учасників конкурсного відбору будуть оцінюватися нами за стобальною шкалою за такими критеріями: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50" w:right="30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Ціна пропозиції  (надати типовий прайс-лист відповідно до переліку послуг та водночас не вичерпуючись ними) -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40 балів за критерій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Відповідність переліку послуг, які надає учасник конкурсу,  потребам Замовника -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30 балів за критерій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Можливість закріплення за організацією менеджера -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15 балів  за критерій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spacing w:after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Можливість надавати безкоштовні послуги (надати перелік та умови надання можливих безкоштовних послуг)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15 балів за критерій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результаті конкурсного відбору буде відібрано одного постачальника послуги підтримки комп’ютерної, офісної техніки та мережі організації.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Відбір постачальника послуг здійснюватиметься шляхом порівняння пропозицій від учасників конкурсного відбору з урахуванням найоптимальнішої ціни, якості і умов надання послуг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Переможцем конкурсного відбору стане один учасник, який надасть усі зазначені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Зміст конкурсних пропозицій</w:t>
      </w:r>
    </w:p>
    <w:p w:rsidR="00000000" w:rsidDel="00000000" w:rsidP="00000000" w:rsidRDefault="00000000" w:rsidRPr="00000000" w14:paraId="000000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3D">
      <w:pPr>
        <w:widowControl w:val="0"/>
        <w:numPr>
          <w:ilvl w:val="1"/>
          <w:numId w:val="2"/>
        </w:numPr>
        <w:spacing w:after="0"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Копії реєстраційних документів (виписка з ЄДР про державну реєстрацію, свідоцтво/довідка платника податків, інші документи за наявності);</w:t>
      </w:r>
    </w:p>
    <w:p w:rsidR="00000000" w:rsidDel="00000000" w:rsidP="00000000" w:rsidRDefault="00000000" w:rsidRPr="00000000" w14:paraId="0000003E">
      <w:pPr>
        <w:widowControl w:val="0"/>
        <w:numPr>
          <w:ilvl w:val="1"/>
          <w:numId w:val="2"/>
        </w:numPr>
        <w:spacing w:after="0"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Заповнений та підписаний Додаток (анкета) №1;</w:t>
      </w:r>
    </w:p>
    <w:p w:rsidR="00000000" w:rsidDel="00000000" w:rsidP="00000000" w:rsidRDefault="00000000" w:rsidRPr="00000000" w14:paraId="0000003F">
      <w:pPr>
        <w:widowControl w:val="0"/>
        <w:numPr>
          <w:ilvl w:val="1"/>
          <w:numId w:val="2"/>
        </w:numPr>
        <w:spacing w:after="0"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Заповнена Таблиця 1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40">
      <w:pPr>
        <w:widowControl w:val="0"/>
        <w:numPr>
          <w:ilvl w:val="1"/>
          <w:numId w:val="2"/>
        </w:numPr>
        <w:spacing w:after="0"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Будь-які інші документи, які, на Вашу думку, можуть засвідчити відповідність вищенаведеним критеріям відбору. </w:t>
      </w:r>
    </w:p>
    <w:p w:rsidR="00000000" w:rsidDel="00000000" w:rsidP="00000000" w:rsidRDefault="00000000" w:rsidRPr="00000000" w14:paraId="00000041">
      <w:pPr>
        <w:widowControl w:val="0"/>
        <w:spacing w:after="0" w:line="24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after="0" w:line="240" w:lineRule="auto"/>
        <w:ind w:left="349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Вимоги до підготовки конкурсних пропозицій</w:t>
      </w:r>
    </w:p>
    <w:p w:rsidR="00000000" w:rsidDel="00000000" w:rsidP="00000000" w:rsidRDefault="00000000" w:rsidRPr="00000000" w14:paraId="00000044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Пропозиції учасників конкурсного відбору мають бути надіслані українською мовою. </w:t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Усі зазначені учасником розцінки мають бути вказані без прихованих платежів, УНЦПД не сплачує додатково податки постачальника. </w:t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Таблиця і анкета мають бути засвідчені офіційною печаткою заявника (за наявності) та/або підписами офіційних осіб. 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Укладання договору і подальша співпраця буде лише з переможцем тендеру.</w:t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Умови розрахунків</w:t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Часткова передоплата або післяплата. Рахунки за товари і послуги мають бути виставлені у гривні. Безготівковий розрахунок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без ПДВ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51">
      <w:pP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Таблиця 1 до інструкції з підготовки пропозицій до конкурсного відбору (тендеру)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Будь-ласка,  заповніть наведену нижче таблицю або додайте запитану  інформацію (прайс-лист, повний перелік послуг) окремими файлами 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207.0" w:type="dxa"/>
        <w:jc w:val="left"/>
        <w:tblInd w:w="-26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5605"/>
        <w:gridCol w:w="3969"/>
        <w:tblGridChange w:id="0">
          <w:tblGrid>
            <w:gridCol w:w="633"/>
            <w:gridCol w:w="5605"/>
            <w:gridCol w:w="3969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Інформація учасника щодо критерію 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(надано/не надано)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476" w:hanging="28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Розцінки за послуги :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Надати типовий прайс–лист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line="240" w:lineRule="auto"/>
              <w:ind w:right="30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Відповідність переліку послуг, які надає учасник конкурсу, потребам Замовника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line="240" w:lineRule="auto"/>
              <w:ind w:right="30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Надати повний перелік послуг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Можливість закріплення за організацією менеджера: 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Так/ні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line="240" w:lineRule="auto"/>
              <w:ind w:right="30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Можливість надавати безкоштовні послуги:</w:t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Надати перелік та умови надання можливих безкоштовних послуг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line="240" w:lineRule="auto"/>
              <w:ind w:right="30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7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right" w:leader="none" w:pos="3600"/>
          <w:tab w:val="right" w:leader="none" w:pos="4320"/>
          <w:tab w:val="right" w:leader="none" w:pos="864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leader="none" w:pos="432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[підпис]</w:t>
        <w:tab/>
        <w:t xml:space="preserve">[посада]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0" w:lineRule="auto"/>
      <w:jc w:val="right"/>
    </w:pPr>
    <w:rPr>
      <w:rFonts w:ascii="Times New Roman" w:cs="Times New Roman" w:eastAsia="Times New Roman" w:hAnsi="Times New Roman"/>
      <w:b w:val="1"/>
      <w:sz w:val="18"/>
      <w:szCs w:val="1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link w:val="10"/>
    <w:uiPriority w:val="9"/>
    <w:qFormat w:val="1"/>
    <w:rsid w:val="00C81473"/>
    <w:pPr>
      <w:keepNext w:val="1"/>
      <w:widowControl w:val="0"/>
      <w:spacing w:after="0" w:line="240" w:lineRule="atLeast"/>
      <w:jc w:val="right"/>
      <w:outlineLvl w:val="0"/>
    </w:pPr>
    <w:rPr>
      <w:rFonts w:ascii="Times New Roman" w:cs="Times New Roman" w:eastAsia="Times New Roman" w:hAnsi="Times New Roman"/>
      <w:b w:val="1"/>
      <w:bCs w:val="1"/>
      <w:iCs w:val="1"/>
      <w:sz w:val="18"/>
      <w:szCs w:val="24"/>
      <w:lang w:eastAsia="x-none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E3579B"/>
  </w:style>
  <w:style w:type="paragraph" w:styleId="a6">
    <w:name w:val="footer"/>
    <w:basedOn w:val="a"/>
    <w:link w:val="a7"/>
    <w:uiPriority w:val="99"/>
    <w:unhideWhenUsed w:val="1"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E3579B"/>
  </w:style>
  <w:style w:type="character" w:styleId="a8">
    <w:name w:val="Hyperlink"/>
    <w:basedOn w:val="a0"/>
    <w:uiPriority w:val="99"/>
    <w:unhideWhenUsed w:val="1"/>
    <w:rsid w:val="00C8271F"/>
    <w:rPr>
      <w:color w:val="0563c1" w:themeColor="hyperlink"/>
      <w:u w:val="single"/>
    </w:rPr>
  </w:style>
  <w:style w:type="character" w:styleId="10" w:customStyle="1">
    <w:name w:val="Заголовок 1 Знак"/>
    <w:basedOn w:val="a0"/>
    <w:link w:val="1"/>
    <w:rsid w:val="00C81473"/>
    <w:rPr>
      <w:rFonts w:ascii="Times New Roman" w:cs="Times New Roman" w:eastAsia="Times New Roman" w:hAnsi="Times New Roman"/>
      <w:b w:val="1"/>
      <w:bCs w:val="1"/>
      <w:iCs w:val="1"/>
      <w:sz w:val="18"/>
      <w:szCs w:val="24"/>
      <w:lang w:eastAsia="x-none"/>
    </w:rPr>
  </w:style>
  <w:style w:type="paragraph" w:styleId="20">
    <w:name w:val="Body Text 2"/>
    <w:basedOn w:val="a"/>
    <w:link w:val="21"/>
    <w:rsid w:val="00C81473"/>
    <w:pPr>
      <w:widowControl w:val="0"/>
      <w:spacing w:after="0" w:line="240" w:lineRule="auto"/>
    </w:pPr>
    <w:rPr>
      <w:rFonts w:ascii="Times New Roman" w:cs="Times New Roman" w:eastAsia="Times New Roman" w:hAnsi="Times New Roman"/>
      <w:b w:val="1"/>
      <w:bCs w:val="1"/>
      <w:i w:val="1"/>
      <w:iCs w:val="1"/>
      <w:sz w:val="24"/>
      <w:szCs w:val="20"/>
      <w:lang w:eastAsia="ru-RU" w:val="ru-RU"/>
    </w:rPr>
  </w:style>
  <w:style w:type="character" w:styleId="21" w:customStyle="1">
    <w:name w:val="Основной текст 2 Знак"/>
    <w:basedOn w:val="a0"/>
    <w:link w:val="20"/>
    <w:rsid w:val="00C81473"/>
    <w:rPr>
      <w:rFonts w:ascii="Times New Roman" w:cs="Times New Roman" w:eastAsia="Times New Roman" w:hAnsi="Times New Roman"/>
      <w:b w:val="1"/>
      <w:bCs w:val="1"/>
      <w:i w:val="1"/>
      <w:iCs w:val="1"/>
      <w:sz w:val="24"/>
      <w:szCs w:val="20"/>
      <w:lang w:eastAsia="ru-RU" w:val="ru-RU"/>
    </w:rPr>
  </w:style>
  <w:style w:type="paragraph" w:styleId="a9">
    <w:name w:val="Normal (Web)"/>
    <w:basedOn w:val="a"/>
    <w:uiPriority w:val="99"/>
    <w:rsid w:val="00C81473"/>
    <w:pPr>
      <w:spacing w:after="0" w:line="240" w:lineRule="auto"/>
      <w:ind w:left="150" w:right="300"/>
    </w:pPr>
    <w:rPr>
      <w:rFonts w:ascii="Arial" w:cs="Arial" w:eastAsia="Times New Roman" w:hAnsi="Arial"/>
      <w:color w:val="333366"/>
      <w:sz w:val="18"/>
      <w:szCs w:val="18"/>
      <w:lang w:eastAsia="ru-RU" w:val="ru-RU"/>
    </w:rPr>
  </w:style>
  <w:style w:type="paragraph" w:styleId="11" w:customStyle="1">
    <w:name w:val="Абзац списку1"/>
    <w:basedOn w:val="a"/>
    <w:rsid w:val="00C81473"/>
    <w:pPr>
      <w:ind w:left="720"/>
      <w:contextualSpacing w:val="1"/>
    </w:pPr>
    <w:rPr>
      <w:rFonts w:cs="Times New Roman" w:eastAsia="Times New Roman"/>
    </w:rPr>
  </w:style>
  <w:style w:type="paragraph" w:styleId="Paragraph" w:customStyle="1">
    <w:name w:val="Paragraph"/>
    <w:basedOn w:val="a"/>
    <w:link w:val="Paragraph0"/>
    <w:rsid w:val="00C81473"/>
    <w:pPr>
      <w:numPr>
        <w:ilvl w:val="3"/>
        <w:numId w:val="7"/>
      </w:numPr>
      <w:tabs>
        <w:tab w:val="left" w:pos="0"/>
      </w:tabs>
      <w:spacing w:after="0" w:before="240" w:line="240" w:lineRule="auto"/>
      <w:jc w:val="both"/>
    </w:pPr>
    <w:rPr>
      <w:rFonts w:ascii="Arial" w:cs="Times New Roman" w:eastAsia="SimSun" w:hAnsi="Arial"/>
      <w:szCs w:val="20"/>
      <w:lang w:val="ru-RU"/>
    </w:rPr>
  </w:style>
  <w:style w:type="paragraph" w:styleId="TableHeader" w:customStyle="1">
    <w:name w:val="TableHeader"/>
    <w:basedOn w:val="a"/>
    <w:autoRedefine w:val="1"/>
    <w:rsid w:val="00C81473"/>
    <w:pPr>
      <w:keepNext w:val="1"/>
      <w:keepLines w:val="1"/>
      <w:numPr>
        <w:ilvl w:val="2"/>
        <w:numId w:val="7"/>
      </w:numPr>
      <w:suppressAutoHyphens w:val="1"/>
      <w:spacing w:after="120" w:line="240" w:lineRule="auto"/>
    </w:pPr>
    <w:rPr>
      <w:rFonts w:ascii="Arial" w:cs="Times New Roman" w:eastAsia="SimSun" w:hAnsi="Arial"/>
      <w:sz w:val="20"/>
      <w:szCs w:val="20"/>
      <w:lang w:eastAsia="ru-RU" w:val="ru-RU"/>
    </w:rPr>
  </w:style>
  <w:style w:type="character" w:styleId="Paragraph0" w:customStyle="1">
    <w:name w:val="Paragraph Знак"/>
    <w:link w:val="Paragraph"/>
    <w:locked w:val="1"/>
    <w:rsid w:val="00C81473"/>
    <w:rPr>
      <w:rFonts w:ascii="Arial" w:cs="Times New Roman" w:eastAsia="SimSun" w:hAnsi="Arial"/>
      <w:szCs w:val="20"/>
      <w:lang w:val="ru-RU"/>
    </w:rPr>
  </w:style>
  <w:style w:type="character" w:styleId="aa">
    <w:name w:val="page number"/>
    <w:basedOn w:val="a0"/>
    <w:uiPriority w:val="99"/>
    <w:semiHidden w:val="1"/>
    <w:unhideWhenUsed w:val="1"/>
    <w:rsid w:val="00146C8C"/>
  </w:style>
  <w:style w:type="paragraph" w:styleId="ab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c" w:customStyle="1">
    <w:basedOn w:val="TableNormal0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J9n2TodjqtgLBDaL046E1sB1sA==">CgMxLjA4AHIhMUY5TkZGRk0xWTNWQWdQLWV2aXRvMTZya3p6a25fNjZm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2021-09-08T13:16:00Z</dcterms:created>
  <dc:creator>УНЦПД</dc:creator>
</cp:coreProperties>
</file>