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Опис послуги і технічне завдання дослідження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30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обраного постачальника послуги проведення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дослідження ефективності публічного фінансування  громадських організацій осіб з інвалідністю в Україні, які отримують кошти без конкурсної основи.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Мета: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дослідити ефективність використання коштів державного бюджету, що виділяються поза конкурсом для громадських організацій людей з інвалідністю.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Обґрунтування дослідження: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 2020 року в Україні здійснено перехід з надання фінансування з державного бюджету з позаконкурсної на конкурсну основу. Між тим, під час останнього розподілу фінансування з державного бюджету України дві організації отримали кошти без конкурсних процедур: Українське товариство глухих (далі – «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УТОГ») та Українське товариство сліпих (далі – «УТОС») (далі разом – «ГО»).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Об’єкт дослідження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цілі та обсяги державних коштів, наданих громадським організаціям осіб з інвалідністю поза конкурсом, для фінансування потреб УТОГ і УТОС за 2019-2021 роки. З деяких питань інформацію необхідно дослідити з 2015 року - для визначення тенденції.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Географія дослідження: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Україна.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Питання, на які має бути надати відповідь: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ОТРИМАННЯ СТАТИСТИЧНИХ ДАНИХ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Скільки громадських об’єднань осіб з інвалідністю існує в Україні? Скільки людей з інвалідністю є в Україні (з розподілом по групам)? Скільки осіб з інвалідністю є членами УТОГу та УТОСу? Скільки осіб з інвалідністю отримують послуги з працевлаштування (по роках з 2015 року і до 2020 року) та інші послуги в УТОГ та УТОС (включено з підприємствами, які заснували організації)? Скільки було створено всеукраїнських організацій осіб з інвалідністю після січня 2012 року (окремо громадські організації та громадські спілки). Які цілі і завдання ставить держава перед УТОГ і УТОС (згідно їх первинних документів та чинного законодавства 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ЕФЕКТИВНІСТЬ ПРОГРАМ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Проаналізувати відповідно до якої програми (вказати бюджетна або програмна) надається фінансування громадським - організаціям осіб з інвалідністю; які визначені проблеми, які встановлені індикатори досягнення мети.  Дослідити кореляцію між пріоритетними напрямками програм і здійсненими витратами з урахуванням показників досягнення мети (кількісних та якісних індикаторів). 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ДОСЛІДЖЕННЯ 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пільги відповідно до законодавства і від яких органів мають громадські об’єднання осіб з інвалідністю з всеукраїнським та без такого статуса (включно з підприємствами та іншими утвореннями)?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Яка структура УТОСу та УТОГу (де знаходяться їх осередки)?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Яке майно на праві власності належить центральному УТОГ та УТОС, яке - місцевим осередкам?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якими програмами та які суми отримують УТОСу та УТОГу з державного та місцевих бюджетів окремо центральний офіс та осередки (з вказанням найменування осередків) у 2019 та 2020 роках.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суми отримують УТОГ та УТОС з державного бюджету з 2015 до 2020 року (вказати суму по роках)?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осередки отримали фінансування УТОСу та УТОГу за гроші, що були отримані з державного бюджету у 2019 та 2020 роках?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звіти були подані УТОГ, УТОС та їх осередками при отриманні фінансування за рахунок публічних коштів? (надати їх копії)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якими програмами та які приміщення комунальної форми власності УТОС та УТОГ мають на правах оренди станом на 2020 рік (з вказанням міста та осередків) Чи такі приміщення здаються в суборенду, кому та за якими сумами?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власні приміщення УТОС та УТОГ здає в оренду (з указанням міст), якщо є можливість з вказанням вартості здачі в оренду?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послуги надає УТОГ та УТОС (перелік, вартість, підстава для формування вартості послуг)?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Скільком особам УТОС та УТОГ надає послуги (не членам)? Чи такі послуги платні чи безкоштовні?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Скільком людям УТОС та УТОГ надає послуги (членам)? Чи такі послуги платні чи безкоштовні?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Скільки членів в УТОСу та УТОГу?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Чи надає УТОГ і УТОС послуги для юридичних осіб? Якщо так - то які саме і на яку суму за 2015-2020рр.  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Чи продавали нерухоме майно УТОГ та УТОС за останні 5 років (з вказанням сум такого продажу)?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ДОСЛІДЖЕННЯ ПІДПРИЄМСТВ, БАЗ ВІДПОЧИНКУ ТА ІНШИХ УТВОРЕНЬ ГО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Які підприємства та інші утворення належать УТОСу та УТОГу (з вказанням їх осередків)?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якими програмами та які суми отримують підприємства та інші утворення УТОСу та УТОГу у 2019-2020 роках.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Яка кількість осіб з інвалідністю та без інвалідності фінансується за рахунок невиробничої сфери УТОГу та УТОСу?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ПРАЦЕВЛАШТУВАННЯ ЛЮДЕЙ З ІНВАЛІДНІСТЮ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Надати перелік (не виключний) організацій, які працевлаштовують людей з інвалідністю (1) усебе, (2) займаються підвищенням кваліфікації/навчання (3) працевлаштовують в інших суб’єктах господарювання (з вказанням місця їх роботи).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Яким чином УТОС і УТОГ допомагає особам з інвалідністю із працевлаштуванням?    Скільки осіб з інвалідністю були працевлаштовані за допомогою УТОГ і УТОС протягом 2015-2020рр.?  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Структура аналітичного документа за наслідками проведеного дослідження: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Назва, зміст і перелік скорочень;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Резюме;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Вступ;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Методологія дослідження;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Аналітичні розділи;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Висновки;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Пропозиції для подальшої роботи;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Додатки, інфографіки та використана література.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 має привертати увагу та складатися з ключових слів. Можливо використовувати запитання. Оптимальний обсяг – 3-5 слів. Заголовок обов'язково пов'язаний зі змістом дослідження.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Зміст – це путівник по тексту аналітичного документа. Він складається з нумерованих та ненумерованих розділів. Нумеровані розділи є взаємозалежними один від одного, ненумеровані – автономними частинами, які можуть самостійно існувати за межами аналітичного звіту. Рекомендуємо нумерувати розділи основної аналітичної частини та залишати без номеру резюме, вступ, методологію, висновки і пропозиції.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Резюме зацікавлює читача та містить стислі ключові тези. Цей розділ є скороченим синтезом висновків та пропозицій. Його обсяг має не перевищувати 1-2 сторінок. Інформація з резюме – це те, що читачі мають запам'ятати, навіть якщо вони не прочитають документ.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Вступ пояснює мотиви написання тексту, привертає увагу читача та знайомить з темою. Цей розділ важливо починати з потужного першого речення. Цінність вступу у поясненні наявного контексту. Його розмір не більше 10% від усього звіту. Оптимально – 1 сторінка.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Методологія – обов'язкова частина документу. У розділі можуть визначатися ключові терміни, описані типи даних та використані методи їх аналізу.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Методологія повинна дозволити повно відповісти на запитання, які поставив замовник і упевнитися в достовірності або хибності гіпотези, яка була висунута. Гіпотеза полягає у тому, а послуги неефективні.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Аналітичні розділи складаються з опису результатів дослідження. Це нумеровані та взаємозалежні блоки. Аналітичні розділи повинні містити графіки для відображення тенденцій, зокрема отримання фінансування та працевлаштування з 2015 року; отримання фінансування УТОГ і УТОС з різних бюджетів тощ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о. Ці розділи мають відображати оцінку ефективності роботи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УТОСу та УТОГу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1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зокрема, які проблеми вони вирішуються, які інструменти застосовують, які результати досягли за останні 5 років, як вирішують проблеми програми, відповідно до якої отримують фінансування).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Висновки й пропозиції вже сформовані на попередньому етапі дослідження.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додатки переміщуємо всі первинні  дані, які не входять до розділів, що будуються на аналізі даних. Цю інформацію можуть використати інші дослідники у своїй роботі. Перелік використаної літератури свідчить про обсяг  та адекватність використання опрацьованої інформації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Погодження тексту дослідження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виконавець повинен протягом усього часу контактувати з відповідальною особою від УНЦПД. Крім цього, виконавець повинен погодити методологію, чернетку аналітичного документу та пропозиції.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Верстка та вичитка аналітичного документу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аналітичний документ має бути вичитаний за рахунок виконавця. Літературне редагування, верстка тексту, дизайн і виготовлення  візуалізованих даних готується за рахунок замовника.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Додаткові вимоги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підготовка даних дослідження до візуалізації.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Авторські права на продукт дослідження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УНЦПД має всі авторські права на аналітичний документ, підготовлений у цьому дослідженні. Виконавець також має передати усі отримані у ході дослідження первинні дані, файли із розрахунками, відповіді державних та приватних юридичних і фізичних осіб.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Строки виконання дослідження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до чотирьох місяців з дня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укладання угоди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(додатково визначається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угоді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 Основний етап має буде завершений до 30 серпня 2021 року.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Об’єм дослідження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до 50 тис. знаків (без додатків).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Оплата: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робота здійснюється у 3 етапи, кожен з яких підлягає звітуванню. Оплата здійснюється за погодженим у договорі графіком за результатами завершення кожного етапу роботи.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Підготовчий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розроблена методологія, зроблені запити до органів державної влади.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Основний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підготовка драфту аналітичного документу; запропоновані дані для інфографіки чи візуалізації даних.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Заключний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підготовка та прийняття вичитаного автором аналітичного документу відповідно до Технічного завдання.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потенційних постачальників послуг: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6"/>
        </w:numPr>
        <w:spacing w:line="254" w:lineRule="auto"/>
        <w:ind w:left="720" w:hanging="360"/>
        <w:jc w:val="both"/>
        <w:rPr>
          <w:rFonts w:ascii="Times New Roman" w:cs="Times New Roman" w:eastAsia="Times New Roman" w:hAnsi="Times New Roman"/>
          <w:color w:val="202124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Суб’єкт підприємницької діяльності згідно із законодавством України (юридична або фізична особа-підприємець).</w:t>
      </w:r>
    </w:p>
    <w:p w:rsidR="00000000" w:rsidDel="00000000" w:rsidP="00000000" w:rsidRDefault="00000000" w:rsidRPr="00000000" w14:paraId="00000050">
      <w:pPr>
        <w:numPr>
          <w:ilvl w:val="0"/>
          <w:numId w:val="6"/>
        </w:numPr>
        <w:spacing w:line="254" w:lineRule="auto"/>
        <w:ind w:left="720" w:hanging="360"/>
        <w:jc w:val="both"/>
        <w:rPr>
          <w:rFonts w:ascii="Times New Roman" w:cs="Times New Roman" w:eastAsia="Times New Roman" w:hAnsi="Times New Roman"/>
          <w:sz w:val="22"/>
          <w:szCs w:val="2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Можливість надати рахунок без ПДВ.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124"/>
          <w:sz w:val="24"/>
          <w:szCs w:val="24"/>
          <w:highlight w:val="white"/>
          <w:rtl w:val="0"/>
        </w:rPr>
        <w:t xml:space="preserve">Виконавець/ці повинні мати вищу освіту в одній або декількох з наступних сфер: юридична, фінансова, соціологічна, економічна, політологічна, публічне управління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highlight w:val="white"/>
          <w:u w:val="none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highlight w:val="white"/>
          <w:u w:val="none"/>
          <w:vertAlign w:val="baseline"/>
          <w:rtl w:val="0"/>
        </w:rPr>
        <w:t xml:space="preserve">Має досвід збирання </w:t>
      </w:r>
      <w:r w:rsidDel="00000000" w:rsidR="00000000" w:rsidRPr="00000000">
        <w:rPr>
          <w:rFonts w:ascii="Times New Roman" w:cs="Times New Roman" w:eastAsia="Times New Roman" w:hAnsi="Times New Roman"/>
          <w:color w:val="202124"/>
          <w:sz w:val="24"/>
          <w:szCs w:val="24"/>
          <w:highlight w:val="white"/>
          <w:rtl w:val="0"/>
        </w:rPr>
        <w:t xml:space="preserve">даних;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highlight w:val="white"/>
          <w:u w:val="none"/>
          <w:vertAlign w:val="baseline"/>
          <w:rtl w:val="0"/>
        </w:rPr>
        <w:t xml:space="preserve">Має досвід у підготовці аналітичних документів (аналітичний звіт, дослідження тощо);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02124"/>
          <w:sz w:val="24"/>
          <w:szCs w:val="24"/>
          <w:highlight w:val="white"/>
          <w:u w:val="none"/>
          <w:vertAlign w:val="baseline"/>
          <w:rtl w:val="0"/>
        </w:rPr>
        <w:t xml:space="preserve">Володіє знаннями у сфері публічного фінансування громадських організацій осіб з 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нвалідністю;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Володіє знаннями у питаннях інклюзії.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Відповідність завданням та умовам тендеру;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Наявний досвід в наданні запитаних послуг;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Конкурентоздатні та реалістичні розцінки.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50" w:right="30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Вартість пропозиції – 30 балів;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Досвід написання аналітичних документів, підтверджений прикладами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балів;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Досвід співпраці з органами державної влади – 5 балів;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Наявність відповідної освіти – 5 балів;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Обізнаність у сфері фінансування громадських організацій осіб з інвалідністю – 5 балів;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Обізнаність у сфері інклюзії – 5 балів.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результаті конкурсного відбору буде відібрано одного постачальника послуги проведення дослідження.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Етапи оцінки: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Оцінка відповідності документів юридичної особи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/фізичної особи-підприємця;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Оцінка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цінової пропозиції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Співбесіда з потенційними виконавцями для уточнення питань проведення дослідження.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Резюме виконавця дослідження;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Копія диплому про вищу освіту;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Приклад підготовлених аналітичних документів;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Документи, що підтверджують реєстрацію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юридичної/фізичної особи-підприємця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і наявність відповідних КВЕД (витяг з ЄДР, довідка платника єдиного податку тощо);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Заповнен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Таблиця 1 і Таблиця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Організація не сплачує податки постачальника послуг.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Анкета і Таблиця 1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f549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f5496"/>
          <w:sz w:val="22"/>
          <w:szCs w:val="22"/>
          <w:u w:val="none"/>
          <w:shd w:fill="auto" w:val="clear"/>
          <w:vertAlign w:val="baseline"/>
          <w:rtl w:val="0"/>
        </w:rPr>
        <w:t xml:space="preserve">Таблиця 1 див. на наступній сторінці.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Таблиця 1 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8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7.0" w:type="dxa"/>
        <w:jc w:val="left"/>
        <w:tblInd w:w="-26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4896"/>
        <w:gridCol w:w="4678"/>
        <w:tblGridChange w:id="0">
          <w:tblGrid>
            <w:gridCol w:w="633"/>
            <w:gridCol w:w="4896"/>
            <w:gridCol w:w="4678"/>
          </w:tblGrid>
        </w:tblGridChange>
      </w:tblGrid>
      <w:tr>
        <w:trPr>
          <w:trHeight w:val="636" w:hRule="atLeast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trHeight w:val="528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пропозиції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Заповнити Таблицю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Досвід написання аналітичних документів, підтверджений прикладами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Надати посилання на аналітичні документи або надати їх як вкладення до пропозиції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Досвід співпраці з органами державної влади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Надати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резюме з відповідною інформацією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Наявність відповідної освіти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Надати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копію диплому про освіту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Обізнаність у сфері фінансування громадських організацій осіб з інвалідністю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Надати інформацію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Обізнаність у сфері інклюзії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Надати інформацію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3600"/>
          <w:tab w:val="right" w:pos="4320"/>
          <w:tab w:val="right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 за наявності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Таблиця 2 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AE">
      <w:pPr>
        <w:keepNext w:val="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1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Вартість послуг з проведення дослідження </w:t>
      </w:r>
    </w:p>
    <w:p w:rsidR="00000000" w:rsidDel="00000000" w:rsidP="00000000" w:rsidRDefault="00000000" w:rsidRPr="00000000" w14:paraId="000000B0">
      <w:pPr>
        <w:spacing w:after="200"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88.774153230846" w:type="dxa"/>
        <w:jc w:val="left"/>
        <w:tblInd w:w="-26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525"/>
        <w:gridCol w:w="3570"/>
        <w:gridCol w:w="2565"/>
        <w:gridCol w:w="3828.7741532308464"/>
        <w:tblGridChange w:id="0">
          <w:tblGrid>
            <w:gridCol w:w="525"/>
            <w:gridCol w:w="3570"/>
            <w:gridCol w:w="2565"/>
            <w:gridCol w:w="3828.7741532308464"/>
          </w:tblGrid>
        </w:tblGridChange>
      </w:tblGrid>
      <w:tr>
        <w:trPr>
          <w:trHeight w:val="636" w:hRule="atLeast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Етап дослідження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Час виконання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Вартість виконання</w:t>
            </w:r>
          </w:p>
        </w:tc>
      </w:tr>
      <w:tr>
        <w:trPr>
          <w:trHeight w:val="528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1.</w:t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Підготовчий: </w:t>
            </w:r>
          </w:p>
          <w:p w:rsidR="00000000" w:rsidDel="00000000" w:rsidP="00000000" w:rsidRDefault="00000000" w:rsidRPr="00000000" w14:paraId="000000B7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розроблена методологія, зроблені запити до органів державної влади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2.</w:t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Основний: </w:t>
            </w:r>
          </w:p>
          <w:p w:rsidR="00000000" w:rsidDel="00000000" w:rsidP="00000000" w:rsidRDefault="00000000" w:rsidRPr="00000000" w14:paraId="000000BC">
            <w:pPr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підготовка драфту аналітичного документу; запропоновані дані для інфографіки чи візуалізації даних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3.</w:t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Заключний: </w:t>
            </w:r>
          </w:p>
          <w:p w:rsidR="00000000" w:rsidDel="00000000" w:rsidP="00000000" w:rsidRDefault="00000000" w:rsidRPr="00000000" w14:paraId="000000C1">
            <w:pPr>
              <w:shd w:fill="ffffff" w:val="clear"/>
              <w:spacing w:line="276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підготовка та прийняття вичитаного автором аналітичного документу відповідно до Технічного завдання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4" w:hRule="atLeast"/>
        </w:trPr>
        <w:tc>
          <w:tcPr>
            <w:gridSpan w:val="2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Всього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         Вартість всього без ПДВ</w:t>
            </w:r>
          </w:p>
        </w:tc>
      </w:tr>
    </w:tbl>
    <w:p w:rsidR="00000000" w:rsidDel="00000000" w:rsidP="00000000" w:rsidRDefault="00000000" w:rsidRPr="00000000" w14:paraId="000000C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C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tabs>
          <w:tab w:val="right" w:pos="3600"/>
          <w:tab w:val="right" w:pos="4320"/>
          <w:tab w:val="right" w:pos="864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tabs>
          <w:tab w:val="left" w:pos="4320"/>
        </w:tabs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tabs>
          <w:tab w:val="right" w:pos="8640"/>
        </w:tabs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tabs>
          <w:tab w:val="right" w:pos="8640"/>
        </w:tabs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3">
    <w:lvl w:ilvl="0">
      <w:start w:val="42360092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7">
    <w:lvl w:ilvl="0">
      <w:start w:val="423609248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imes New Roman" w:eastAsia="MS Mincho" w:hAnsi="Times New Roman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НазваниеЗнак">
    <w:name w:val="Название Знак"/>
    <w:next w:val="Название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у">
    <w:name w:val="Абзац списку"/>
    <w:basedOn w:val="Обычный"/>
    <w:next w:val="Абзацсписку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Обычный"/>
    <w:next w:val="Абзацсписку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Paragraph">
    <w:name w:val="Paragraph"/>
    <w:basedOn w:val="ListParagraph"/>
    <w:next w:val="Paragraph"/>
    <w:autoRedefine w:val="0"/>
    <w:hidden w:val="0"/>
    <w:qFormat w:val="0"/>
    <w:pPr>
      <w:numPr>
        <w:ilvl w:val="3"/>
        <w:numId w:val="3"/>
      </w:numPr>
      <w:tabs>
        <w:tab w:val="left" w:leader="none" w:pos="0"/>
      </w:tabs>
      <w:suppressAutoHyphens w:val="1"/>
      <w:spacing w:after="0" w:before="240" w:line="240" w:lineRule="auto"/>
      <w:ind w:left="0" w:leftChars="-1" w:rightChars="0" w:firstLineChars="-1"/>
      <w:jc w:val="both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ru-RU"/>
    </w:rPr>
  </w:style>
  <w:style w:type="paragraph" w:styleId="TableHeader">
    <w:name w:val="TableHeader"/>
    <w:basedOn w:val="Обычный"/>
    <w:next w:val="TableHeader"/>
    <w:autoRedefine w:val="0"/>
    <w:hidden w:val="0"/>
    <w:qFormat w:val="0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ParagraphЗнак">
    <w:name w:val="Paragraph Знак"/>
    <w:next w:val="ParagraphЗнак"/>
    <w:autoRedefine w:val="0"/>
    <w:hidden w:val="0"/>
    <w:qFormat w:val="0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/>
    </w:rPr>
  </w:style>
  <w:style w:type="paragraph" w:styleId="NormalBody">
    <w:name w:val="Normal Body"/>
    <w:basedOn w:val="Обычный"/>
    <w:next w:val="NormalBody"/>
    <w:autoRedefine w:val="0"/>
    <w:hidden w:val="0"/>
    <w:qFormat w:val="0"/>
    <w:p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ListBulletStd">
    <w:name w:val="List Bullet Std"/>
    <w:basedOn w:val="NormalBody"/>
    <w:next w:val="ListBulletStd"/>
    <w:autoRedefine w:val="0"/>
    <w:hidden w:val="0"/>
    <w:qFormat w:val="0"/>
    <w:pPr>
      <w:numPr>
        <w:ilvl w:val="0"/>
        <w:numId w:val="4"/>
      </w:num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ps">
    <w:name w:val="caps"/>
    <w:next w:val="ca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7EW/L98ff/gG7292Ou0i2Y/QyA==">AMUW2mWoVEVEeo0rb/nSbxmkQUfvlCGCamx9Mqi/lkCEHTUWFnmGjD8+CrH9fmRwYS9zJ5jfowuZzFvKNUm4jqyw6K5OZ4RZtPeywLNo1J98vPVXkRj61G4=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2021-03-29T12:55:00Z</dcterms:created>
  <dc:creator>Victor</dc:creator>
</cp:coreProperties>
</file>